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FBB6" w14:textId="4FB507D0" w:rsidR="00A91B33" w:rsidRDefault="008A3605" w:rsidP="00A91B33">
      <w:pPr>
        <w:ind w:left="7080" w:firstLine="708"/>
        <w:rPr>
          <w:rFonts w:ascii="Tahoma" w:eastAsia="Tahoma" w:hAnsi="Tahoma" w:cs="Tahoma"/>
          <w:b/>
          <w:sz w:val="18"/>
          <w:szCs w:val="18"/>
          <w:u w:val="single"/>
        </w:rPr>
      </w:pPr>
      <w:r>
        <w:rPr>
          <w:rFonts w:ascii="Tahoma" w:eastAsia="Tahoma" w:hAnsi="Tahoma" w:cs="Tahoma"/>
          <w:sz w:val="18"/>
          <w:szCs w:val="18"/>
        </w:rPr>
        <w:t>26</w:t>
      </w:r>
      <w:r w:rsidR="004E5C10"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marzo</w:t>
      </w:r>
      <w:r w:rsidR="004E5C10">
        <w:rPr>
          <w:rFonts w:ascii="Tahoma" w:eastAsia="Tahoma" w:hAnsi="Tahoma" w:cs="Tahoma"/>
          <w:sz w:val="18"/>
          <w:szCs w:val="18"/>
        </w:rPr>
        <w:t xml:space="preserve"> </w:t>
      </w:r>
      <w:r w:rsidR="00A91B33" w:rsidRPr="00A91B33">
        <w:rPr>
          <w:rFonts w:ascii="Tahoma" w:eastAsia="Tahoma" w:hAnsi="Tahoma" w:cs="Tahoma"/>
          <w:sz w:val="18"/>
          <w:szCs w:val="18"/>
        </w:rPr>
        <w:t>202</w:t>
      </w:r>
      <w:r w:rsidR="002807E6">
        <w:rPr>
          <w:rFonts w:ascii="Tahoma" w:eastAsia="Tahoma" w:hAnsi="Tahoma" w:cs="Tahoma"/>
          <w:sz w:val="18"/>
          <w:szCs w:val="18"/>
        </w:rPr>
        <w:t>5</w:t>
      </w:r>
    </w:p>
    <w:p w14:paraId="727B4C55" w14:textId="77777777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b/>
          <w:sz w:val="18"/>
          <w:szCs w:val="18"/>
          <w:u w:val="single"/>
        </w:rPr>
        <w:t>COMUNICATO STAMPA</w:t>
      </w:r>
    </w:p>
    <w:p w14:paraId="7F2C4333" w14:textId="77777777" w:rsidR="002807E6" w:rsidRDefault="002807E6" w:rsidP="00415342">
      <w:pPr>
        <w:jc w:val="both"/>
        <w:rPr>
          <w:rFonts w:ascii="Tahoma" w:eastAsia="Tahoma" w:hAnsi="Tahoma" w:cs="Tahoma"/>
          <w:sz w:val="18"/>
          <w:szCs w:val="18"/>
        </w:rPr>
      </w:pPr>
    </w:p>
    <w:p w14:paraId="601AF223" w14:textId="77777777" w:rsidR="00B909FF" w:rsidRDefault="00B909FF" w:rsidP="00415342">
      <w:pPr>
        <w:jc w:val="both"/>
        <w:rPr>
          <w:rFonts w:ascii="Tahoma" w:eastAsia="Tahoma" w:hAnsi="Tahoma" w:cs="Tahoma"/>
          <w:sz w:val="18"/>
          <w:szCs w:val="18"/>
        </w:rPr>
      </w:pPr>
    </w:p>
    <w:p w14:paraId="7E30D6E4" w14:textId="77777777" w:rsidR="004E5C10" w:rsidRDefault="00B635A2" w:rsidP="00B635A2">
      <w:pPr>
        <w:jc w:val="center"/>
        <w:rPr>
          <w:rFonts w:ascii="Tahoma" w:eastAsia="Tahoma" w:hAnsi="Tahoma" w:cs="Tahoma"/>
          <w:b/>
          <w:bCs/>
        </w:rPr>
      </w:pPr>
      <w:r w:rsidRPr="00B635A2">
        <w:rPr>
          <w:rFonts w:ascii="Tahoma" w:eastAsia="Tahoma" w:hAnsi="Tahoma" w:cs="Tahoma"/>
          <w:b/>
          <w:bCs/>
        </w:rPr>
        <w:t xml:space="preserve">Banco Marchigiano </w:t>
      </w:r>
      <w:r w:rsidR="006D0896">
        <w:rPr>
          <w:rFonts w:ascii="Tahoma" w:eastAsia="Tahoma" w:hAnsi="Tahoma" w:cs="Tahoma"/>
          <w:b/>
          <w:bCs/>
        </w:rPr>
        <w:t xml:space="preserve">approva il </w:t>
      </w:r>
      <w:r w:rsidR="006D0896" w:rsidRPr="006D0896">
        <w:rPr>
          <w:rFonts w:ascii="Tahoma" w:eastAsia="Tahoma" w:hAnsi="Tahoma" w:cs="Tahoma"/>
          <w:b/>
          <w:bCs/>
        </w:rPr>
        <w:t xml:space="preserve">bilancio </w:t>
      </w:r>
      <w:r w:rsidRPr="00B635A2">
        <w:rPr>
          <w:rFonts w:ascii="Tahoma" w:eastAsia="Tahoma" w:hAnsi="Tahoma" w:cs="Tahoma"/>
          <w:b/>
          <w:bCs/>
        </w:rPr>
        <w:t xml:space="preserve">2024: </w:t>
      </w:r>
    </w:p>
    <w:p w14:paraId="04C8173D" w14:textId="32B0DA7F" w:rsidR="00B635A2" w:rsidRPr="009B3397" w:rsidRDefault="00B635A2" w:rsidP="00B635A2">
      <w:pPr>
        <w:jc w:val="center"/>
        <w:rPr>
          <w:rFonts w:ascii="Tahoma" w:eastAsia="Tahoma" w:hAnsi="Tahoma" w:cs="Tahoma"/>
          <w:b/>
          <w:bCs/>
          <w:strike/>
        </w:rPr>
      </w:pPr>
      <w:r w:rsidRPr="00F60804">
        <w:rPr>
          <w:rFonts w:ascii="Tahoma" w:eastAsia="Tahoma" w:hAnsi="Tahoma" w:cs="Tahoma"/>
          <w:b/>
          <w:bCs/>
        </w:rPr>
        <w:t xml:space="preserve">utile </w:t>
      </w:r>
      <w:r w:rsidR="009B3397" w:rsidRPr="00F60804">
        <w:rPr>
          <w:rFonts w:ascii="Tahoma" w:eastAsia="Tahoma" w:hAnsi="Tahoma" w:cs="Tahoma"/>
          <w:b/>
          <w:bCs/>
        </w:rPr>
        <w:t>netto di 12,</w:t>
      </w:r>
      <w:r w:rsidR="00AE4084">
        <w:rPr>
          <w:rFonts w:ascii="Tahoma" w:eastAsia="Tahoma" w:hAnsi="Tahoma" w:cs="Tahoma"/>
          <w:b/>
          <w:bCs/>
        </w:rPr>
        <w:t>5</w:t>
      </w:r>
      <w:r w:rsidR="009B3397" w:rsidRPr="00F60804">
        <w:rPr>
          <w:rFonts w:ascii="Tahoma" w:eastAsia="Tahoma" w:hAnsi="Tahoma" w:cs="Tahoma"/>
          <w:b/>
          <w:bCs/>
        </w:rPr>
        <w:t xml:space="preserve"> milioni </w:t>
      </w:r>
      <w:r w:rsidRPr="00F60804">
        <w:rPr>
          <w:rFonts w:ascii="Tahoma" w:eastAsia="Tahoma" w:hAnsi="Tahoma" w:cs="Tahoma"/>
          <w:b/>
          <w:bCs/>
        </w:rPr>
        <w:t>e</w:t>
      </w:r>
      <w:r w:rsidR="009B3397" w:rsidRPr="00F60804">
        <w:rPr>
          <w:rFonts w:ascii="Tahoma" w:eastAsia="Tahoma" w:hAnsi="Tahoma" w:cs="Tahoma"/>
          <w:b/>
          <w:bCs/>
        </w:rPr>
        <w:t xml:space="preserve"> indicatori in</w:t>
      </w:r>
      <w:r w:rsidR="00AE4084">
        <w:rPr>
          <w:rFonts w:ascii="Tahoma" w:eastAsia="Tahoma" w:hAnsi="Tahoma" w:cs="Tahoma"/>
          <w:b/>
          <w:bCs/>
        </w:rPr>
        <w:t xml:space="preserve"> forte</w:t>
      </w:r>
      <w:r w:rsidR="009B3397" w:rsidRPr="00F60804">
        <w:rPr>
          <w:rFonts w:ascii="Tahoma" w:eastAsia="Tahoma" w:hAnsi="Tahoma" w:cs="Tahoma"/>
          <w:b/>
          <w:bCs/>
        </w:rPr>
        <w:t xml:space="preserve"> crescita</w:t>
      </w:r>
      <w:r w:rsidRPr="00B635A2">
        <w:rPr>
          <w:rFonts w:ascii="Tahoma" w:eastAsia="Tahoma" w:hAnsi="Tahoma" w:cs="Tahoma"/>
          <w:b/>
          <w:bCs/>
        </w:rPr>
        <w:t xml:space="preserve"> </w:t>
      </w:r>
    </w:p>
    <w:p w14:paraId="0B302F91" w14:textId="05018E70" w:rsidR="00B635A2" w:rsidRPr="004E5C10" w:rsidRDefault="004E5C10" w:rsidP="004E5C10">
      <w:pPr>
        <w:jc w:val="center"/>
        <w:rPr>
          <w:rFonts w:ascii="Tahoma" w:eastAsia="Tahoma" w:hAnsi="Tahoma" w:cs="Tahoma"/>
          <w:i/>
          <w:iCs/>
          <w:sz w:val="18"/>
          <w:szCs w:val="18"/>
        </w:rPr>
      </w:pPr>
      <w:r w:rsidRPr="004E5C10">
        <w:rPr>
          <w:rFonts w:ascii="Tahoma" w:eastAsia="Tahoma" w:hAnsi="Tahoma" w:cs="Tahoma"/>
          <w:i/>
          <w:iCs/>
          <w:sz w:val="18"/>
          <w:szCs w:val="18"/>
        </w:rPr>
        <w:t xml:space="preserve">Numeri estremamente positivi nel bilancio approvato </w:t>
      </w:r>
      <w:r>
        <w:rPr>
          <w:rFonts w:ascii="Tahoma" w:eastAsia="Tahoma" w:hAnsi="Tahoma" w:cs="Tahoma"/>
          <w:i/>
          <w:iCs/>
          <w:sz w:val="18"/>
          <w:szCs w:val="18"/>
        </w:rPr>
        <w:t xml:space="preserve">ieri (martedì) </w:t>
      </w:r>
      <w:r w:rsidRPr="004E5C10">
        <w:rPr>
          <w:rFonts w:ascii="Tahoma" w:eastAsia="Tahoma" w:hAnsi="Tahoma" w:cs="Tahoma"/>
          <w:i/>
          <w:iCs/>
          <w:sz w:val="18"/>
          <w:szCs w:val="18"/>
        </w:rPr>
        <w:t>dal Consiglio di Amministrazione.</w:t>
      </w:r>
    </w:p>
    <w:p w14:paraId="5CF4AA44" w14:textId="1F21667C" w:rsidR="004E5C10" w:rsidRDefault="004E5C10" w:rsidP="004E5C10">
      <w:pPr>
        <w:jc w:val="center"/>
        <w:rPr>
          <w:rFonts w:ascii="Tahoma" w:eastAsia="Tahoma" w:hAnsi="Tahoma" w:cs="Tahoma"/>
          <w:i/>
          <w:iCs/>
          <w:sz w:val="18"/>
          <w:szCs w:val="18"/>
        </w:rPr>
      </w:pPr>
      <w:r w:rsidRPr="004E5C10">
        <w:rPr>
          <w:rFonts w:ascii="Tahoma" w:eastAsia="Tahoma" w:hAnsi="Tahoma" w:cs="Tahoma"/>
          <w:i/>
          <w:iCs/>
          <w:sz w:val="18"/>
          <w:szCs w:val="18"/>
        </w:rPr>
        <w:t xml:space="preserve">Indicatori finanziari ed economici solidi su tutti i fronti, ma il dato più rilevante è l’utile netto </w:t>
      </w:r>
    </w:p>
    <w:p w14:paraId="43288007" w14:textId="77777777" w:rsidR="004E5C10" w:rsidRDefault="004E5C10" w:rsidP="004E5C10">
      <w:pPr>
        <w:jc w:val="center"/>
        <w:rPr>
          <w:rFonts w:ascii="Tahoma" w:eastAsia="Tahoma" w:hAnsi="Tahoma" w:cs="Tahoma"/>
          <w:i/>
          <w:iCs/>
          <w:sz w:val="18"/>
          <w:szCs w:val="18"/>
        </w:rPr>
      </w:pPr>
    </w:p>
    <w:p w14:paraId="1DF22DCC" w14:textId="77777777" w:rsidR="004E5C10" w:rsidRPr="004E5C10" w:rsidRDefault="004E5C10" w:rsidP="004E5C10">
      <w:pPr>
        <w:jc w:val="center"/>
        <w:rPr>
          <w:rFonts w:ascii="Tahoma" w:eastAsia="Tahoma" w:hAnsi="Tahoma" w:cs="Tahoma"/>
          <w:i/>
          <w:iCs/>
          <w:sz w:val="18"/>
          <w:szCs w:val="18"/>
        </w:rPr>
      </w:pPr>
    </w:p>
    <w:p w14:paraId="5A8E7806" w14:textId="77777777" w:rsidR="004E5C10" w:rsidRDefault="00B635A2" w:rsidP="004E5C10">
      <w:pPr>
        <w:spacing w:line="0" w:lineRule="atLeast"/>
        <w:jc w:val="both"/>
        <w:rPr>
          <w:rFonts w:ascii="Tahoma" w:eastAsia="Tahoma" w:hAnsi="Tahoma" w:cs="Tahoma"/>
          <w:sz w:val="18"/>
          <w:szCs w:val="18"/>
        </w:rPr>
      </w:pPr>
      <w:r w:rsidRPr="00F60804">
        <w:rPr>
          <w:rFonts w:ascii="Tahoma" w:eastAsia="Tahoma" w:hAnsi="Tahoma" w:cs="Tahoma"/>
          <w:sz w:val="18"/>
          <w:szCs w:val="18"/>
        </w:rPr>
        <w:t xml:space="preserve">Il </w:t>
      </w:r>
      <w:r w:rsidR="009B3397" w:rsidRPr="00F60804">
        <w:rPr>
          <w:rFonts w:ascii="Tahoma" w:eastAsia="Tahoma" w:hAnsi="Tahoma" w:cs="Tahoma"/>
          <w:sz w:val="18"/>
          <w:szCs w:val="18"/>
        </w:rPr>
        <w:t>Consiglio di Amministrazione del Banco Marchigiano ha approvato il bilancio chiuso al 31.12.2024 che evidenzia n</w:t>
      </w:r>
      <w:r w:rsidRPr="00F60804">
        <w:rPr>
          <w:rFonts w:ascii="Tahoma" w:eastAsia="Tahoma" w:hAnsi="Tahoma" w:cs="Tahoma"/>
          <w:sz w:val="18"/>
          <w:szCs w:val="18"/>
        </w:rPr>
        <w:t xml:space="preserve">umeri </w:t>
      </w:r>
      <w:r w:rsidR="009B3397" w:rsidRPr="00F60804">
        <w:rPr>
          <w:rFonts w:ascii="Tahoma" w:eastAsia="Tahoma" w:hAnsi="Tahoma" w:cs="Tahoma"/>
          <w:sz w:val="18"/>
          <w:szCs w:val="18"/>
        </w:rPr>
        <w:t>estremamente positivi.</w:t>
      </w:r>
      <w:r w:rsidRPr="00B635A2">
        <w:rPr>
          <w:rFonts w:ascii="Tahoma" w:eastAsia="Tahoma" w:hAnsi="Tahoma" w:cs="Tahoma"/>
          <w:sz w:val="18"/>
          <w:szCs w:val="18"/>
        </w:rPr>
        <w:t xml:space="preserve"> Il bilancio, che verrà approvato in Assemblea </w:t>
      </w:r>
      <w:r w:rsidR="008170EC">
        <w:rPr>
          <w:rFonts w:ascii="Tahoma" w:eastAsia="Tahoma" w:hAnsi="Tahoma" w:cs="Tahoma"/>
          <w:sz w:val="18"/>
          <w:szCs w:val="18"/>
        </w:rPr>
        <w:t>nel mese di</w:t>
      </w:r>
      <w:r w:rsidRPr="00B635A2">
        <w:rPr>
          <w:rFonts w:ascii="Tahoma" w:eastAsia="Tahoma" w:hAnsi="Tahoma" w:cs="Tahoma"/>
          <w:sz w:val="18"/>
          <w:szCs w:val="18"/>
        </w:rPr>
        <w:t xml:space="preserve"> maggio, evidenzia indicatori </w:t>
      </w:r>
      <w:r w:rsidR="00641298" w:rsidRPr="00904C9C">
        <w:rPr>
          <w:rFonts w:ascii="Tahoma" w:eastAsia="Tahoma" w:hAnsi="Tahoma" w:cs="Tahoma"/>
          <w:sz w:val="18"/>
          <w:szCs w:val="18"/>
        </w:rPr>
        <w:t>finanziari</w:t>
      </w:r>
      <w:r w:rsidR="00641298">
        <w:rPr>
          <w:rFonts w:ascii="Tahoma" w:eastAsia="Tahoma" w:hAnsi="Tahoma" w:cs="Tahoma"/>
          <w:sz w:val="18"/>
          <w:szCs w:val="18"/>
        </w:rPr>
        <w:t xml:space="preserve"> ed </w:t>
      </w:r>
      <w:r w:rsidRPr="00B635A2">
        <w:rPr>
          <w:rFonts w:ascii="Tahoma" w:eastAsia="Tahoma" w:hAnsi="Tahoma" w:cs="Tahoma"/>
          <w:sz w:val="18"/>
          <w:szCs w:val="18"/>
        </w:rPr>
        <w:t xml:space="preserve">economici solidi su tutti i fronti: raccolta, impieghi, patrimonio e liquidità. Ma il dato </w:t>
      </w:r>
      <w:r w:rsidRPr="00F60804">
        <w:rPr>
          <w:rFonts w:ascii="Tahoma" w:eastAsia="Tahoma" w:hAnsi="Tahoma" w:cs="Tahoma"/>
          <w:sz w:val="18"/>
          <w:szCs w:val="18"/>
        </w:rPr>
        <w:t xml:space="preserve">più </w:t>
      </w:r>
      <w:r w:rsidR="00C57A02" w:rsidRPr="00F60804">
        <w:rPr>
          <w:rFonts w:ascii="Tahoma" w:eastAsia="Tahoma" w:hAnsi="Tahoma" w:cs="Tahoma"/>
          <w:sz w:val="18"/>
          <w:szCs w:val="18"/>
        </w:rPr>
        <w:t>rilevante</w:t>
      </w:r>
      <w:r w:rsidR="00C57A02">
        <w:rPr>
          <w:rFonts w:ascii="Tahoma" w:eastAsia="Tahoma" w:hAnsi="Tahoma" w:cs="Tahoma"/>
          <w:sz w:val="18"/>
          <w:szCs w:val="18"/>
        </w:rPr>
        <w:t xml:space="preserve"> </w:t>
      </w:r>
      <w:r w:rsidRPr="00B635A2">
        <w:rPr>
          <w:rFonts w:ascii="Tahoma" w:eastAsia="Tahoma" w:hAnsi="Tahoma" w:cs="Tahoma"/>
          <w:sz w:val="18"/>
          <w:szCs w:val="18"/>
        </w:rPr>
        <w:t>è senza dubbio l’utile netto</w:t>
      </w:r>
      <w:r w:rsidR="009B3397">
        <w:rPr>
          <w:rFonts w:ascii="Tahoma" w:eastAsia="Tahoma" w:hAnsi="Tahoma" w:cs="Tahoma"/>
          <w:sz w:val="18"/>
          <w:szCs w:val="18"/>
        </w:rPr>
        <w:t xml:space="preserve"> di esercizio</w:t>
      </w:r>
      <w:r w:rsidRPr="00B635A2">
        <w:rPr>
          <w:rFonts w:ascii="Tahoma" w:eastAsia="Tahoma" w:hAnsi="Tahoma" w:cs="Tahoma"/>
          <w:sz w:val="18"/>
          <w:szCs w:val="18"/>
        </w:rPr>
        <w:t xml:space="preserve">, che ha superato i 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>12,5 milioni di euro</w:t>
      </w:r>
      <w:r w:rsidRPr="00B635A2">
        <w:rPr>
          <w:rFonts w:ascii="Tahoma" w:eastAsia="Tahoma" w:hAnsi="Tahoma" w:cs="Tahoma"/>
          <w:sz w:val="18"/>
          <w:szCs w:val="18"/>
        </w:rPr>
        <w:t xml:space="preserve">, </w:t>
      </w:r>
      <w:r w:rsidR="009B3397" w:rsidRPr="00F60804">
        <w:rPr>
          <w:rFonts w:ascii="Tahoma" w:eastAsia="Tahoma" w:hAnsi="Tahoma" w:cs="Tahoma"/>
          <w:sz w:val="18"/>
          <w:szCs w:val="18"/>
        </w:rPr>
        <w:t xml:space="preserve">in </w:t>
      </w:r>
      <w:r w:rsidRPr="00F60804">
        <w:rPr>
          <w:rFonts w:ascii="Tahoma" w:eastAsia="Tahoma" w:hAnsi="Tahoma" w:cs="Tahoma"/>
          <w:sz w:val="18"/>
          <w:szCs w:val="18"/>
        </w:rPr>
        <w:t>incremento</w:t>
      </w:r>
      <w:r w:rsidRPr="00B635A2">
        <w:rPr>
          <w:rFonts w:ascii="Tahoma" w:eastAsia="Tahoma" w:hAnsi="Tahoma" w:cs="Tahoma"/>
          <w:sz w:val="18"/>
          <w:szCs w:val="18"/>
        </w:rPr>
        <w:t xml:space="preserve"> 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>del 53</w:t>
      </w:r>
      <w:r w:rsidR="00641298">
        <w:rPr>
          <w:rFonts w:ascii="Tahoma" w:eastAsia="Tahoma" w:hAnsi="Tahoma" w:cs="Tahoma"/>
          <w:b/>
          <w:bCs/>
          <w:sz w:val="18"/>
          <w:szCs w:val="18"/>
        </w:rPr>
        <w:t>,3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>% rispetto al 2023</w:t>
      </w:r>
      <w:r w:rsidRPr="00B635A2">
        <w:rPr>
          <w:rFonts w:ascii="Tahoma" w:eastAsia="Tahoma" w:hAnsi="Tahoma" w:cs="Tahoma"/>
          <w:sz w:val="18"/>
          <w:szCs w:val="18"/>
        </w:rPr>
        <w:t>.</w:t>
      </w:r>
    </w:p>
    <w:p w14:paraId="0164B057" w14:textId="4EBD9874" w:rsidR="00B635A2" w:rsidRPr="00B635A2" w:rsidRDefault="00B635A2" w:rsidP="004E5C10">
      <w:pPr>
        <w:spacing w:line="0" w:lineRule="atLeast"/>
        <w:jc w:val="both"/>
        <w:rPr>
          <w:rFonts w:ascii="Tahoma" w:eastAsia="Tahoma" w:hAnsi="Tahoma" w:cs="Tahoma"/>
          <w:sz w:val="18"/>
          <w:szCs w:val="18"/>
        </w:rPr>
      </w:pPr>
      <w:r w:rsidRPr="00B635A2">
        <w:rPr>
          <w:rFonts w:ascii="Tahoma" w:eastAsia="Tahoma" w:hAnsi="Tahoma" w:cs="Tahoma"/>
          <w:sz w:val="18"/>
          <w:szCs w:val="18"/>
        </w:rPr>
        <w:t>Un risultato che riflette la gestione attenta e strategica della banca, che ha rafforzato redditività,</w:t>
      </w:r>
      <w:r w:rsidR="00F612A8">
        <w:rPr>
          <w:rFonts w:ascii="Tahoma" w:eastAsia="Tahoma" w:hAnsi="Tahoma" w:cs="Tahoma"/>
          <w:sz w:val="18"/>
          <w:szCs w:val="18"/>
        </w:rPr>
        <w:t xml:space="preserve"> solidità, </w:t>
      </w:r>
      <w:r w:rsidRPr="00B635A2">
        <w:rPr>
          <w:rFonts w:ascii="Tahoma" w:eastAsia="Tahoma" w:hAnsi="Tahoma" w:cs="Tahoma"/>
          <w:sz w:val="18"/>
          <w:szCs w:val="18"/>
        </w:rPr>
        <w:t xml:space="preserve">produttività e controllo del rischio. Il patrimonio netto ha infatti </w:t>
      </w:r>
      <w:r w:rsidR="00FE0ED3">
        <w:rPr>
          <w:rFonts w:ascii="Tahoma" w:eastAsia="Tahoma" w:hAnsi="Tahoma" w:cs="Tahoma"/>
          <w:sz w:val="18"/>
          <w:szCs w:val="18"/>
        </w:rPr>
        <w:t>raggiunto</w:t>
      </w:r>
      <w:r w:rsidRPr="00B635A2">
        <w:rPr>
          <w:rFonts w:ascii="Tahoma" w:eastAsia="Tahoma" w:hAnsi="Tahoma" w:cs="Tahoma"/>
          <w:sz w:val="18"/>
          <w:szCs w:val="18"/>
        </w:rPr>
        <w:t xml:space="preserve"> </w:t>
      </w:r>
      <w:r w:rsidRPr="00FE0ED3">
        <w:rPr>
          <w:rFonts w:ascii="Tahoma" w:eastAsia="Tahoma" w:hAnsi="Tahoma" w:cs="Tahoma"/>
          <w:sz w:val="18"/>
          <w:szCs w:val="18"/>
        </w:rPr>
        <w:t>i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 xml:space="preserve"> 101,6 milioni di euro</w:t>
      </w:r>
      <w:r w:rsidRPr="00B635A2">
        <w:rPr>
          <w:rFonts w:ascii="Tahoma" w:eastAsia="Tahoma" w:hAnsi="Tahoma" w:cs="Tahoma"/>
          <w:sz w:val="18"/>
          <w:szCs w:val="18"/>
        </w:rPr>
        <w:t xml:space="preserve">, </w:t>
      </w:r>
      <w:r w:rsidR="00FE0ED3">
        <w:rPr>
          <w:rFonts w:ascii="Tahoma" w:eastAsia="Tahoma" w:hAnsi="Tahoma" w:cs="Tahoma"/>
          <w:sz w:val="18"/>
          <w:szCs w:val="18"/>
        </w:rPr>
        <w:t xml:space="preserve">in aumento </w:t>
      </w:r>
      <w:r w:rsidRPr="00B635A2">
        <w:rPr>
          <w:rFonts w:ascii="Tahoma" w:eastAsia="Tahoma" w:hAnsi="Tahoma" w:cs="Tahoma"/>
          <w:sz w:val="18"/>
          <w:szCs w:val="18"/>
        </w:rPr>
        <w:t xml:space="preserve">del 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 xml:space="preserve">14% in </w:t>
      </w:r>
      <w:r w:rsidR="00FE0ED3">
        <w:rPr>
          <w:rFonts w:ascii="Tahoma" w:eastAsia="Tahoma" w:hAnsi="Tahoma" w:cs="Tahoma"/>
          <w:b/>
          <w:bCs/>
          <w:sz w:val="18"/>
          <w:szCs w:val="18"/>
        </w:rPr>
        <w:t>ragione d’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 xml:space="preserve"> anno</w:t>
      </w:r>
      <w:r w:rsidRPr="00B635A2">
        <w:rPr>
          <w:rFonts w:ascii="Tahoma" w:eastAsia="Tahoma" w:hAnsi="Tahoma" w:cs="Tahoma"/>
          <w:sz w:val="18"/>
          <w:szCs w:val="18"/>
        </w:rPr>
        <w:t>.</w:t>
      </w:r>
    </w:p>
    <w:p w14:paraId="0ECDB879" w14:textId="675905EE" w:rsidR="00B635A2" w:rsidRPr="00B635A2" w:rsidRDefault="00B635A2" w:rsidP="004E5C10">
      <w:pPr>
        <w:spacing w:line="0" w:lineRule="atLeast"/>
        <w:jc w:val="both"/>
        <w:rPr>
          <w:rFonts w:ascii="Tahoma" w:eastAsia="Tahoma" w:hAnsi="Tahoma" w:cs="Tahoma"/>
          <w:sz w:val="18"/>
          <w:szCs w:val="18"/>
        </w:rPr>
      </w:pPr>
      <w:r w:rsidRPr="00B635A2">
        <w:rPr>
          <w:rFonts w:ascii="Tahoma" w:eastAsia="Tahoma" w:hAnsi="Tahoma" w:cs="Tahoma"/>
          <w:sz w:val="18"/>
          <w:szCs w:val="18"/>
        </w:rPr>
        <w:t xml:space="preserve">Anche il 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>CET 1 ratio</w:t>
      </w:r>
      <w:r w:rsidRPr="00B635A2">
        <w:rPr>
          <w:rFonts w:ascii="Tahoma" w:eastAsia="Tahoma" w:hAnsi="Tahoma" w:cs="Tahoma"/>
          <w:sz w:val="18"/>
          <w:szCs w:val="18"/>
        </w:rPr>
        <w:t xml:space="preserve">, indicatore chiave della solidità di un istituto di credito, si è attestato al 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>23,1%</w:t>
      </w:r>
      <w:r w:rsidRPr="00B635A2">
        <w:rPr>
          <w:rFonts w:ascii="Tahoma" w:eastAsia="Tahoma" w:hAnsi="Tahoma" w:cs="Tahoma"/>
          <w:sz w:val="18"/>
          <w:szCs w:val="18"/>
        </w:rPr>
        <w:t>, ben al di sopra de</w:t>
      </w:r>
      <w:r w:rsidR="005871DD">
        <w:rPr>
          <w:rFonts w:ascii="Tahoma" w:eastAsia="Tahoma" w:hAnsi="Tahoma" w:cs="Tahoma"/>
          <w:sz w:val="18"/>
          <w:szCs w:val="18"/>
        </w:rPr>
        <w:t>i limiti previsti dalla normativa di vigilanza e al di sopra de</w:t>
      </w:r>
      <w:r w:rsidRPr="00B635A2">
        <w:rPr>
          <w:rFonts w:ascii="Tahoma" w:eastAsia="Tahoma" w:hAnsi="Tahoma" w:cs="Tahoma"/>
          <w:sz w:val="18"/>
          <w:szCs w:val="18"/>
        </w:rPr>
        <w:t>lla media nazionale</w:t>
      </w:r>
      <w:r w:rsidR="002B656B">
        <w:rPr>
          <w:rFonts w:ascii="Tahoma" w:eastAsia="Tahoma" w:hAnsi="Tahoma" w:cs="Tahoma"/>
          <w:sz w:val="18"/>
          <w:szCs w:val="18"/>
        </w:rPr>
        <w:t>.</w:t>
      </w:r>
      <w:r w:rsidRPr="00B635A2">
        <w:rPr>
          <w:rFonts w:ascii="Tahoma" w:eastAsia="Tahoma" w:hAnsi="Tahoma" w:cs="Tahoma"/>
          <w:sz w:val="18"/>
          <w:szCs w:val="18"/>
        </w:rPr>
        <w:t xml:space="preserve"> Questo significa maggiore sicurezza per soci e clienti</w:t>
      </w:r>
      <w:r w:rsidR="00FE0ED3">
        <w:rPr>
          <w:rFonts w:ascii="Tahoma" w:eastAsia="Tahoma" w:hAnsi="Tahoma" w:cs="Tahoma"/>
          <w:sz w:val="18"/>
          <w:szCs w:val="18"/>
        </w:rPr>
        <w:t xml:space="preserve">, a seguito di </w:t>
      </w:r>
      <w:r w:rsidRPr="00B635A2">
        <w:rPr>
          <w:rFonts w:ascii="Tahoma" w:eastAsia="Tahoma" w:hAnsi="Tahoma" w:cs="Tahoma"/>
          <w:sz w:val="18"/>
          <w:szCs w:val="18"/>
        </w:rPr>
        <w:t>una gestione sempre più solida dei rischi di credito, mercato e operativi.</w:t>
      </w:r>
    </w:p>
    <w:p w14:paraId="052ABCA6" w14:textId="54B309A6" w:rsidR="00B635A2" w:rsidRPr="00B635A2" w:rsidRDefault="00B635A2" w:rsidP="004E5C10">
      <w:pPr>
        <w:spacing w:line="0" w:lineRule="atLeast"/>
        <w:jc w:val="both"/>
        <w:rPr>
          <w:rFonts w:ascii="Tahoma" w:eastAsia="Tahoma" w:hAnsi="Tahoma" w:cs="Tahoma"/>
          <w:sz w:val="18"/>
          <w:szCs w:val="18"/>
        </w:rPr>
      </w:pPr>
      <w:r w:rsidRPr="00B635A2">
        <w:rPr>
          <w:rFonts w:ascii="Tahoma" w:eastAsia="Tahoma" w:hAnsi="Tahoma" w:cs="Tahoma"/>
          <w:sz w:val="18"/>
          <w:szCs w:val="18"/>
        </w:rPr>
        <w:t xml:space="preserve">Sul fronte della raccolta, il Banco Marchigiano ha toccato 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>1 miliardo e 524 milioni di euro</w:t>
      </w:r>
      <w:r w:rsidRPr="00B635A2">
        <w:rPr>
          <w:rFonts w:ascii="Tahoma" w:eastAsia="Tahoma" w:hAnsi="Tahoma" w:cs="Tahoma"/>
          <w:sz w:val="18"/>
          <w:szCs w:val="18"/>
        </w:rPr>
        <w:t xml:space="preserve">, con una crescita del 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>9,5%</w:t>
      </w:r>
      <w:r w:rsidR="00D2546F">
        <w:rPr>
          <w:rFonts w:ascii="Tahoma" w:eastAsia="Tahoma" w:hAnsi="Tahoma" w:cs="Tahoma"/>
          <w:b/>
          <w:bCs/>
          <w:sz w:val="18"/>
          <w:szCs w:val="18"/>
        </w:rPr>
        <w:t xml:space="preserve"> rispetto al 2023</w:t>
      </w:r>
      <w:r w:rsidRPr="00B635A2">
        <w:rPr>
          <w:rFonts w:ascii="Tahoma" w:eastAsia="Tahoma" w:hAnsi="Tahoma" w:cs="Tahoma"/>
          <w:sz w:val="18"/>
          <w:szCs w:val="18"/>
        </w:rPr>
        <w:t xml:space="preserve">. Un risultato trainato sia dalla raccolta diretta (+6,8%) sia da quella gestita (+14,9%). Parallelamente, la banca ha aumentato del 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>4,</w:t>
      </w:r>
      <w:r w:rsidR="00415A78">
        <w:rPr>
          <w:rFonts w:ascii="Tahoma" w:eastAsia="Tahoma" w:hAnsi="Tahoma" w:cs="Tahoma"/>
          <w:b/>
          <w:bCs/>
          <w:sz w:val="18"/>
          <w:szCs w:val="18"/>
        </w:rPr>
        <w:t>8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>%</w:t>
      </w:r>
      <w:r w:rsidRPr="00B635A2">
        <w:rPr>
          <w:rFonts w:ascii="Tahoma" w:eastAsia="Tahoma" w:hAnsi="Tahoma" w:cs="Tahoma"/>
          <w:sz w:val="18"/>
          <w:szCs w:val="18"/>
        </w:rPr>
        <w:t xml:space="preserve"> i finanziamenti a imprese, artigiani e famiglie, </w:t>
      </w:r>
      <w:r w:rsidR="00C4791E">
        <w:rPr>
          <w:rFonts w:ascii="Tahoma" w:eastAsia="Tahoma" w:hAnsi="Tahoma" w:cs="Tahoma"/>
          <w:sz w:val="18"/>
          <w:szCs w:val="18"/>
        </w:rPr>
        <w:t xml:space="preserve">conseguendo 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>559 milioni di euro</w:t>
      </w:r>
      <w:r w:rsidRPr="00B635A2">
        <w:rPr>
          <w:rFonts w:ascii="Tahoma" w:eastAsia="Tahoma" w:hAnsi="Tahoma" w:cs="Tahoma"/>
          <w:sz w:val="18"/>
          <w:szCs w:val="18"/>
        </w:rPr>
        <w:t xml:space="preserve"> di finanziamenti netti.</w:t>
      </w:r>
    </w:p>
    <w:p w14:paraId="5393DE3E" w14:textId="52CCF696" w:rsidR="00B635A2" w:rsidRPr="00B635A2" w:rsidRDefault="00B635A2" w:rsidP="004E5C10">
      <w:pPr>
        <w:spacing w:line="0" w:lineRule="atLeast"/>
        <w:jc w:val="both"/>
        <w:rPr>
          <w:rFonts w:ascii="Tahoma" w:eastAsia="Tahoma" w:hAnsi="Tahoma" w:cs="Tahoma"/>
          <w:sz w:val="18"/>
          <w:szCs w:val="18"/>
        </w:rPr>
      </w:pPr>
      <w:r w:rsidRPr="00B635A2">
        <w:rPr>
          <w:rFonts w:ascii="Tahoma" w:eastAsia="Tahoma" w:hAnsi="Tahoma" w:cs="Tahoma"/>
          <w:sz w:val="18"/>
          <w:szCs w:val="18"/>
        </w:rPr>
        <w:t xml:space="preserve">“Siamo orgogliosi di questi risultati – commenta il </w:t>
      </w:r>
      <w:r w:rsidRPr="00D2546F">
        <w:rPr>
          <w:rFonts w:ascii="Tahoma" w:eastAsia="Tahoma" w:hAnsi="Tahoma" w:cs="Tahoma"/>
          <w:b/>
          <w:bCs/>
          <w:sz w:val="18"/>
          <w:szCs w:val="18"/>
        </w:rPr>
        <w:t>Direttore Generale Massimo Tombolini</w:t>
      </w:r>
      <w:r w:rsidRPr="00B635A2">
        <w:rPr>
          <w:rFonts w:ascii="Tahoma" w:eastAsia="Tahoma" w:hAnsi="Tahoma" w:cs="Tahoma"/>
          <w:sz w:val="18"/>
          <w:szCs w:val="18"/>
        </w:rPr>
        <w:t xml:space="preserve">, a pochi giorni dal suo secondo anniversario alla guida dell’istituto – </w:t>
      </w:r>
      <w:r>
        <w:rPr>
          <w:rFonts w:ascii="Tahoma" w:eastAsia="Tahoma" w:hAnsi="Tahoma" w:cs="Tahoma"/>
          <w:sz w:val="18"/>
          <w:szCs w:val="18"/>
        </w:rPr>
        <w:t xml:space="preserve">abbiamo </w:t>
      </w:r>
      <w:r w:rsidR="005871DD">
        <w:rPr>
          <w:rFonts w:ascii="Tahoma" w:eastAsia="Tahoma" w:hAnsi="Tahoma" w:cs="Tahoma"/>
          <w:sz w:val="18"/>
          <w:szCs w:val="18"/>
        </w:rPr>
        <w:t xml:space="preserve">migliorato la nostra quota di mercato sulla raccolta ed </w:t>
      </w:r>
      <w:r>
        <w:rPr>
          <w:rFonts w:ascii="Tahoma" w:eastAsia="Tahoma" w:hAnsi="Tahoma" w:cs="Tahoma"/>
          <w:sz w:val="18"/>
          <w:szCs w:val="18"/>
        </w:rPr>
        <w:t>erogato finanziamenti per circa 120 milioni di euro</w:t>
      </w:r>
      <w:r w:rsidR="006D0896">
        <w:rPr>
          <w:rFonts w:ascii="Tahoma" w:eastAsia="Tahoma" w:hAnsi="Tahoma" w:cs="Tahoma"/>
          <w:sz w:val="18"/>
          <w:szCs w:val="18"/>
        </w:rPr>
        <w:t xml:space="preserve"> </w:t>
      </w:r>
      <w:r w:rsidR="005871DD">
        <w:rPr>
          <w:rFonts w:ascii="Tahoma" w:eastAsia="Tahoma" w:hAnsi="Tahoma" w:cs="Tahoma"/>
          <w:sz w:val="18"/>
          <w:szCs w:val="18"/>
        </w:rPr>
        <w:t>a sostegno delle imprese e famiglie dei nostri territori.</w:t>
      </w:r>
      <w:r w:rsidR="00B82D99">
        <w:rPr>
          <w:rFonts w:ascii="Tahoma" w:eastAsia="Tahoma" w:hAnsi="Tahoma" w:cs="Tahoma"/>
          <w:sz w:val="18"/>
          <w:szCs w:val="18"/>
        </w:rPr>
        <w:t xml:space="preserve"> I risultati ottenuti nel 2024 sono frutto dell’impegno quotidiano dei nostri collaboratori e di scelte strategiche basate su un modello</w:t>
      </w:r>
      <w:r w:rsidR="005871DD">
        <w:rPr>
          <w:rFonts w:ascii="Tahoma" w:eastAsia="Tahoma" w:hAnsi="Tahoma" w:cs="Tahoma"/>
          <w:sz w:val="18"/>
          <w:szCs w:val="18"/>
        </w:rPr>
        <w:t xml:space="preserve"> organizzativo in cui le persone sono al centro del nostro percorso di sviluppo futuro</w:t>
      </w:r>
      <w:r w:rsidRPr="00B635A2">
        <w:rPr>
          <w:rFonts w:ascii="Tahoma" w:eastAsia="Tahoma" w:hAnsi="Tahoma" w:cs="Tahoma"/>
          <w:sz w:val="18"/>
          <w:szCs w:val="18"/>
        </w:rPr>
        <w:t>”.</w:t>
      </w:r>
    </w:p>
    <w:p w14:paraId="6AC1DFFA" w14:textId="0C65F0B6" w:rsidR="00B635A2" w:rsidRDefault="005871DD" w:rsidP="004E5C10">
      <w:pPr>
        <w:spacing w:line="0" w:lineRule="atLeast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Altro</w:t>
      </w:r>
      <w:r w:rsidR="00B635A2" w:rsidRPr="00B635A2">
        <w:rPr>
          <w:rFonts w:ascii="Tahoma" w:eastAsia="Tahoma" w:hAnsi="Tahoma" w:cs="Tahoma"/>
          <w:sz w:val="18"/>
          <w:szCs w:val="18"/>
        </w:rPr>
        <w:t xml:space="preserve"> punto di forza della banca è la qualità del credito: i crediti deteriorati si mantengono su livelli minimi (</w:t>
      </w:r>
      <w:r w:rsidR="00B635A2" w:rsidRPr="00B635A2">
        <w:rPr>
          <w:rFonts w:ascii="Tahoma" w:eastAsia="Tahoma" w:hAnsi="Tahoma" w:cs="Tahoma"/>
          <w:b/>
          <w:bCs/>
          <w:sz w:val="18"/>
          <w:szCs w:val="18"/>
        </w:rPr>
        <w:t>circa il 3% del totale</w:t>
      </w:r>
      <w:r w:rsidR="00415A78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00415A78" w:rsidRPr="00904C9C">
        <w:rPr>
          <w:rFonts w:ascii="Tahoma" w:eastAsia="Tahoma" w:hAnsi="Tahoma" w:cs="Tahoma"/>
          <w:b/>
          <w:bCs/>
          <w:sz w:val="18"/>
          <w:szCs w:val="18"/>
        </w:rPr>
        <w:t>crediti</w:t>
      </w:r>
      <w:r w:rsidR="002A4740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00F612A8" w:rsidRPr="00904C9C">
        <w:rPr>
          <w:rFonts w:ascii="Tahoma" w:eastAsia="Tahoma" w:hAnsi="Tahoma" w:cs="Tahoma"/>
          <w:b/>
          <w:bCs/>
          <w:sz w:val="18"/>
          <w:szCs w:val="18"/>
        </w:rPr>
        <w:t>-</w:t>
      </w:r>
      <w:r w:rsidR="00F612A8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00D2546F">
        <w:rPr>
          <w:rFonts w:ascii="Tahoma" w:eastAsia="Tahoma" w:hAnsi="Tahoma" w:cs="Tahoma"/>
          <w:b/>
          <w:bCs/>
          <w:sz w:val="18"/>
          <w:szCs w:val="18"/>
        </w:rPr>
        <w:t>NPL ratio</w:t>
      </w:r>
      <w:r w:rsidR="00F612A8">
        <w:rPr>
          <w:rFonts w:ascii="Tahoma" w:eastAsia="Tahoma" w:hAnsi="Tahoma" w:cs="Tahoma"/>
          <w:b/>
          <w:bCs/>
          <w:sz w:val="18"/>
          <w:szCs w:val="18"/>
        </w:rPr>
        <w:t xml:space="preserve"> lordo</w:t>
      </w:r>
      <w:r w:rsidR="00B635A2" w:rsidRPr="00B635A2">
        <w:rPr>
          <w:rFonts w:ascii="Tahoma" w:eastAsia="Tahoma" w:hAnsi="Tahoma" w:cs="Tahoma"/>
          <w:sz w:val="18"/>
          <w:szCs w:val="18"/>
        </w:rPr>
        <w:t>)</w:t>
      </w:r>
      <w:r w:rsidR="002A4740">
        <w:rPr>
          <w:rFonts w:ascii="Tahoma" w:eastAsia="Tahoma" w:hAnsi="Tahoma" w:cs="Tahoma"/>
          <w:sz w:val="18"/>
          <w:szCs w:val="18"/>
        </w:rPr>
        <w:t xml:space="preserve">, </w:t>
      </w:r>
      <w:r w:rsidR="00B635A2" w:rsidRPr="00B635A2">
        <w:rPr>
          <w:rFonts w:ascii="Tahoma" w:eastAsia="Tahoma" w:hAnsi="Tahoma" w:cs="Tahoma"/>
          <w:sz w:val="18"/>
          <w:szCs w:val="18"/>
        </w:rPr>
        <w:t xml:space="preserve">con un livello di copertura </w:t>
      </w:r>
      <w:r w:rsidR="00D2546F">
        <w:rPr>
          <w:rFonts w:ascii="Tahoma" w:eastAsia="Tahoma" w:hAnsi="Tahoma" w:cs="Tahoma"/>
          <w:sz w:val="18"/>
          <w:szCs w:val="18"/>
        </w:rPr>
        <w:t xml:space="preserve">che sfiora </w:t>
      </w:r>
      <w:r w:rsidR="00B635A2" w:rsidRPr="00B635A2">
        <w:rPr>
          <w:rFonts w:ascii="Tahoma" w:eastAsia="Tahoma" w:hAnsi="Tahoma" w:cs="Tahoma"/>
          <w:sz w:val="18"/>
          <w:szCs w:val="18"/>
        </w:rPr>
        <w:t>l’</w:t>
      </w:r>
      <w:r w:rsidR="00B635A2" w:rsidRPr="00B635A2">
        <w:rPr>
          <w:rFonts w:ascii="Tahoma" w:eastAsia="Tahoma" w:hAnsi="Tahoma" w:cs="Tahoma"/>
          <w:b/>
          <w:bCs/>
          <w:sz w:val="18"/>
          <w:szCs w:val="18"/>
        </w:rPr>
        <w:t>80%</w:t>
      </w:r>
      <w:r w:rsidR="002A4740">
        <w:rPr>
          <w:rFonts w:ascii="Tahoma" w:eastAsia="Tahoma" w:hAnsi="Tahoma" w:cs="Tahoma"/>
          <w:b/>
          <w:bCs/>
          <w:sz w:val="18"/>
          <w:szCs w:val="18"/>
        </w:rPr>
        <w:t>;</w:t>
      </w:r>
      <w:r w:rsidR="00F612A8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00F612A8" w:rsidRPr="00F612A8">
        <w:rPr>
          <w:rFonts w:ascii="Tahoma" w:eastAsia="Tahoma" w:hAnsi="Tahoma" w:cs="Tahoma"/>
          <w:sz w:val="18"/>
          <w:szCs w:val="18"/>
        </w:rPr>
        <w:t xml:space="preserve">pertanto </w:t>
      </w:r>
      <w:r w:rsidR="00F612A8">
        <w:rPr>
          <w:rFonts w:ascii="Tahoma" w:eastAsia="Tahoma" w:hAnsi="Tahoma" w:cs="Tahoma"/>
          <w:sz w:val="18"/>
          <w:szCs w:val="18"/>
        </w:rPr>
        <w:t>al netto degli accantonamenti i credit</w:t>
      </w:r>
      <w:r>
        <w:rPr>
          <w:rFonts w:ascii="Tahoma" w:eastAsia="Tahoma" w:hAnsi="Tahoma" w:cs="Tahoma"/>
          <w:sz w:val="18"/>
          <w:szCs w:val="18"/>
        </w:rPr>
        <w:t>i</w:t>
      </w:r>
      <w:r w:rsidR="00F612A8">
        <w:rPr>
          <w:rFonts w:ascii="Tahoma" w:eastAsia="Tahoma" w:hAnsi="Tahoma" w:cs="Tahoma"/>
          <w:sz w:val="18"/>
          <w:szCs w:val="18"/>
        </w:rPr>
        <w:t xml:space="preserve"> anomali sono pari allo 0,7% degli impieghi netti (NPL </w:t>
      </w:r>
      <w:r w:rsidR="00904C9C">
        <w:rPr>
          <w:rFonts w:ascii="Tahoma" w:eastAsia="Tahoma" w:hAnsi="Tahoma" w:cs="Tahoma"/>
          <w:sz w:val="18"/>
          <w:szCs w:val="18"/>
        </w:rPr>
        <w:t xml:space="preserve">ratio </w:t>
      </w:r>
      <w:r w:rsidR="00F612A8">
        <w:rPr>
          <w:rFonts w:ascii="Tahoma" w:eastAsia="Tahoma" w:hAnsi="Tahoma" w:cs="Tahoma"/>
          <w:sz w:val="18"/>
          <w:szCs w:val="18"/>
        </w:rPr>
        <w:t>netto</w:t>
      </w:r>
      <w:r>
        <w:rPr>
          <w:rFonts w:ascii="Tahoma" w:eastAsia="Tahoma" w:hAnsi="Tahoma" w:cs="Tahoma"/>
          <w:sz w:val="18"/>
          <w:szCs w:val="18"/>
        </w:rPr>
        <w:t>)</w:t>
      </w:r>
      <w:r w:rsidR="00F612A8">
        <w:rPr>
          <w:rFonts w:ascii="Tahoma" w:eastAsia="Tahoma" w:hAnsi="Tahoma" w:cs="Tahoma"/>
          <w:sz w:val="18"/>
          <w:szCs w:val="18"/>
        </w:rPr>
        <w:t>.</w:t>
      </w:r>
    </w:p>
    <w:p w14:paraId="2ABA6E1C" w14:textId="77777777" w:rsidR="00B82D99" w:rsidRPr="00B635A2" w:rsidRDefault="00B82D99" w:rsidP="004E5C10">
      <w:pPr>
        <w:pStyle w:val="NormaleWeb"/>
        <w:spacing w:before="0" w:beforeAutospacing="0" w:after="0" w:afterAutospacing="0" w:line="0" w:lineRule="atLeast"/>
        <w:jc w:val="both"/>
        <w:rPr>
          <w:rFonts w:ascii="Tahoma" w:eastAsia="Tahoma" w:hAnsi="Tahoma" w:cs="Tahoma"/>
          <w:sz w:val="18"/>
          <w:szCs w:val="18"/>
        </w:rPr>
      </w:pPr>
      <w:r w:rsidRPr="00B82D99">
        <w:rPr>
          <w:rFonts w:ascii="Tahoma" w:eastAsia="Tahoma" w:hAnsi="Tahoma" w:cs="Tahoma"/>
          <w:sz w:val="18"/>
          <w:szCs w:val="18"/>
        </w:rPr>
        <w:t xml:space="preserve">Ci sono poi i </w:t>
      </w:r>
      <w:r w:rsidRPr="00B82D99">
        <w:rPr>
          <w:rFonts w:ascii="Tahoma" w:eastAsia="Tahoma" w:hAnsi="Tahoma" w:cs="Tahoma"/>
          <w:b/>
          <w:bCs/>
          <w:sz w:val="18"/>
          <w:szCs w:val="18"/>
        </w:rPr>
        <w:t>vantaggi</w:t>
      </w:r>
      <w:r w:rsidRPr="00B82D99">
        <w:rPr>
          <w:rFonts w:ascii="Tahoma" w:eastAsia="Tahoma" w:hAnsi="Tahoma" w:cs="Tahoma"/>
          <w:sz w:val="18"/>
          <w:szCs w:val="18"/>
        </w:rPr>
        <w:t xml:space="preserve"> di appartenere a un Gruppo nazionale come </w:t>
      </w:r>
      <w:r w:rsidRPr="00B82D99">
        <w:rPr>
          <w:rFonts w:ascii="Tahoma" w:eastAsia="Tahoma" w:hAnsi="Tahoma" w:cs="Tahoma"/>
          <w:b/>
          <w:bCs/>
          <w:sz w:val="18"/>
          <w:szCs w:val="18"/>
        </w:rPr>
        <w:t>Cassa Centrale Banca</w:t>
      </w:r>
      <w:r w:rsidRPr="00B82D99">
        <w:rPr>
          <w:rFonts w:ascii="Tahoma" w:eastAsia="Tahoma" w:hAnsi="Tahoma" w:cs="Tahoma"/>
          <w:sz w:val="18"/>
          <w:szCs w:val="18"/>
        </w:rPr>
        <w:t xml:space="preserve">, vantaggi anche diretti sul territorio e “che abbiamo ampiamente </w:t>
      </w:r>
      <w:r w:rsidR="005871DD">
        <w:rPr>
          <w:rFonts w:ascii="Tahoma" w:eastAsia="Tahoma" w:hAnsi="Tahoma" w:cs="Tahoma"/>
          <w:sz w:val="18"/>
          <w:szCs w:val="18"/>
        </w:rPr>
        <w:t>sperimentato nel corso del 2024</w:t>
      </w:r>
      <w:r w:rsidRPr="00B82D99">
        <w:rPr>
          <w:rFonts w:ascii="Tahoma" w:eastAsia="Tahoma" w:hAnsi="Tahoma" w:cs="Tahoma"/>
          <w:sz w:val="18"/>
          <w:szCs w:val="18"/>
        </w:rPr>
        <w:t xml:space="preserve"> – dice il </w:t>
      </w:r>
      <w:r w:rsidRPr="00B82D99">
        <w:rPr>
          <w:rFonts w:ascii="Tahoma" w:eastAsia="Tahoma" w:hAnsi="Tahoma" w:cs="Tahoma"/>
          <w:b/>
          <w:bCs/>
          <w:sz w:val="18"/>
          <w:szCs w:val="18"/>
        </w:rPr>
        <w:t>Vice Presidente Marco Bindelli</w:t>
      </w:r>
      <w:r w:rsidRPr="00B82D99">
        <w:rPr>
          <w:rFonts w:ascii="Tahoma" w:eastAsia="Tahoma" w:hAnsi="Tahoma" w:cs="Tahoma"/>
          <w:sz w:val="18"/>
          <w:szCs w:val="18"/>
        </w:rPr>
        <w:t xml:space="preserve"> – quando abbiamo consentito a imprese del territorio di accedere a finanziamenti rilevanti, per significativi investimenti in tecnologia e innovazione, attraverso operazioni in pool tra Banco Marchigiano e Cassa Centrale Banca, finanziamenti che altrimenti difficilmente sarebbero stat</w:t>
      </w:r>
      <w:r>
        <w:rPr>
          <w:rFonts w:ascii="Tahoma" w:eastAsia="Tahoma" w:hAnsi="Tahoma" w:cs="Tahoma"/>
          <w:sz w:val="18"/>
          <w:szCs w:val="18"/>
        </w:rPr>
        <w:t>i</w:t>
      </w:r>
      <w:r w:rsidRPr="00B82D99">
        <w:rPr>
          <w:rFonts w:ascii="Tahoma" w:eastAsia="Tahoma" w:hAnsi="Tahoma" w:cs="Tahoma"/>
          <w:sz w:val="18"/>
          <w:szCs w:val="18"/>
        </w:rPr>
        <w:t xml:space="preserve"> possibil</w:t>
      </w:r>
      <w:r w:rsidR="005871DD">
        <w:rPr>
          <w:rFonts w:ascii="Tahoma" w:eastAsia="Tahoma" w:hAnsi="Tahoma" w:cs="Tahoma"/>
          <w:sz w:val="18"/>
          <w:szCs w:val="18"/>
        </w:rPr>
        <w:t>i</w:t>
      </w:r>
      <w:r w:rsidRPr="00B82D99">
        <w:rPr>
          <w:rFonts w:ascii="Tahoma" w:eastAsia="Tahoma" w:hAnsi="Tahoma" w:cs="Tahoma"/>
          <w:sz w:val="18"/>
          <w:szCs w:val="18"/>
        </w:rPr>
        <w:t>”.</w:t>
      </w:r>
    </w:p>
    <w:p w14:paraId="4D1EFE6A" w14:textId="1C1CBAA7" w:rsidR="00B635A2" w:rsidRPr="00B635A2" w:rsidRDefault="00B635A2" w:rsidP="004E5C10">
      <w:pPr>
        <w:spacing w:line="0" w:lineRule="atLeast"/>
        <w:jc w:val="both"/>
        <w:rPr>
          <w:rFonts w:ascii="Tahoma" w:eastAsia="Tahoma" w:hAnsi="Tahoma" w:cs="Tahoma"/>
          <w:sz w:val="18"/>
          <w:szCs w:val="18"/>
        </w:rPr>
      </w:pPr>
      <w:r w:rsidRPr="00B635A2">
        <w:rPr>
          <w:rFonts w:ascii="Tahoma" w:eastAsia="Tahoma" w:hAnsi="Tahoma" w:cs="Tahoma"/>
          <w:sz w:val="18"/>
          <w:szCs w:val="18"/>
        </w:rPr>
        <w:t xml:space="preserve">Ma Banco Marchigiano non è solo numeri. </w:t>
      </w:r>
      <w:r w:rsidR="00D2546F">
        <w:rPr>
          <w:rFonts w:ascii="Tahoma" w:eastAsia="Tahoma" w:hAnsi="Tahoma" w:cs="Tahoma"/>
          <w:sz w:val="18"/>
          <w:szCs w:val="18"/>
        </w:rPr>
        <w:t xml:space="preserve"> “</w:t>
      </w:r>
      <w:r w:rsidRPr="00B635A2">
        <w:rPr>
          <w:rFonts w:ascii="Tahoma" w:eastAsia="Tahoma" w:hAnsi="Tahoma" w:cs="Tahoma"/>
          <w:sz w:val="18"/>
          <w:szCs w:val="18"/>
        </w:rPr>
        <w:t xml:space="preserve">Il legame con il territorio resta al centro della </w:t>
      </w:r>
      <w:r w:rsidR="00D2546F">
        <w:rPr>
          <w:rFonts w:ascii="Tahoma" w:eastAsia="Tahoma" w:hAnsi="Tahoma" w:cs="Tahoma"/>
          <w:sz w:val="18"/>
          <w:szCs w:val="18"/>
        </w:rPr>
        <w:t xml:space="preserve">nostra </w:t>
      </w:r>
      <w:r w:rsidRPr="00B635A2">
        <w:rPr>
          <w:rFonts w:ascii="Tahoma" w:eastAsia="Tahoma" w:hAnsi="Tahoma" w:cs="Tahoma"/>
          <w:sz w:val="18"/>
          <w:szCs w:val="18"/>
        </w:rPr>
        <w:t>missione</w:t>
      </w:r>
      <w:r w:rsidR="00D2546F">
        <w:rPr>
          <w:rFonts w:ascii="Tahoma" w:eastAsia="Tahoma" w:hAnsi="Tahoma" w:cs="Tahoma"/>
          <w:sz w:val="18"/>
          <w:szCs w:val="18"/>
        </w:rPr>
        <w:t xml:space="preserve"> – commenta il </w:t>
      </w:r>
      <w:r w:rsidR="00D2546F" w:rsidRPr="00D2546F">
        <w:rPr>
          <w:rFonts w:ascii="Tahoma" w:eastAsia="Tahoma" w:hAnsi="Tahoma" w:cs="Tahoma"/>
          <w:b/>
          <w:bCs/>
          <w:sz w:val="18"/>
          <w:szCs w:val="18"/>
        </w:rPr>
        <w:t>Presidente Sandro Palombini</w:t>
      </w:r>
      <w:r w:rsidR="00D2546F">
        <w:rPr>
          <w:rFonts w:ascii="Tahoma" w:eastAsia="Tahoma" w:hAnsi="Tahoma" w:cs="Tahoma"/>
          <w:sz w:val="18"/>
          <w:szCs w:val="18"/>
        </w:rPr>
        <w:t xml:space="preserve"> - </w:t>
      </w:r>
      <w:r w:rsidRPr="00B635A2">
        <w:rPr>
          <w:rFonts w:ascii="Tahoma" w:eastAsia="Tahoma" w:hAnsi="Tahoma" w:cs="Tahoma"/>
          <w:sz w:val="18"/>
          <w:szCs w:val="18"/>
        </w:rPr>
        <w:t xml:space="preserve">con </w:t>
      </w:r>
      <w:r w:rsidR="00F612A8">
        <w:rPr>
          <w:rFonts w:ascii="Tahoma" w:eastAsia="Tahoma" w:hAnsi="Tahoma" w:cs="Tahoma"/>
          <w:b/>
          <w:bCs/>
          <w:sz w:val="18"/>
          <w:szCs w:val="18"/>
        </w:rPr>
        <w:t xml:space="preserve">quasi 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>mezzo milione di euro</w:t>
      </w:r>
      <w:r w:rsidRPr="00B635A2">
        <w:rPr>
          <w:rFonts w:ascii="Tahoma" w:eastAsia="Tahoma" w:hAnsi="Tahoma" w:cs="Tahoma"/>
          <w:sz w:val="18"/>
          <w:szCs w:val="18"/>
        </w:rPr>
        <w:t xml:space="preserve"> destinato a iniziative sociali, sportive, culturali e sanitarie. Tra i progetti più rilevanti, il sostegno all’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>Unità di Allergologia dell’Ospedale di Civitanova Marche</w:t>
      </w:r>
      <w:r w:rsidRPr="00B635A2">
        <w:rPr>
          <w:rFonts w:ascii="Tahoma" w:eastAsia="Tahoma" w:hAnsi="Tahoma" w:cs="Tahoma"/>
          <w:sz w:val="18"/>
          <w:szCs w:val="18"/>
        </w:rPr>
        <w:t xml:space="preserve"> e la campagna di prevenzione</w:t>
      </w:r>
      <w:r w:rsidR="00D2546F">
        <w:rPr>
          <w:rFonts w:ascii="Tahoma" w:eastAsia="Tahoma" w:hAnsi="Tahoma" w:cs="Tahoma"/>
          <w:sz w:val="18"/>
          <w:szCs w:val="18"/>
        </w:rPr>
        <w:t xml:space="preserve"> sanitaria</w:t>
      </w:r>
      <w:r w:rsidR="006D0896">
        <w:rPr>
          <w:rFonts w:ascii="Tahoma" w:eastAsia="Tahoma" w:hAnsi="Tahoma" w:cs="Tahoma"/>
          <w:sz w:val="18"/>
          <w:szCs w:val="18"/>
        </w:rPr>
        <w:t xml:space="preserve"> 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>"Quattro passi per una vita sana"</w:t>
      </w:r>
      <w:r w:rsidRPr="00B635A2">
        <w:rPr>
          <w:rFonts w:ascii="Tahoma" w:eastAsia="Tahoma" w:hAnsi="Tahoma" w:cs="Tahoma"/>
          <w:sz w:val="18"/>
          <w:szCs w:val="18"/>
        </w:rPr>
        <w:t>, realizzata con Cassa Mutua MarcheVita ETS</w:t>
      </w:r>
      <w:r w:rsidR="00D2546F">
        <w:rPr>
          <w:rFonts w:ascii="Tahoma" w:eastAsia="Tahoma" w:hAnsi="Tahoma" w:cs="Tahoma"/>
          <w:sz w:val="18"/>
          <w:szCs w:val="18"/>
        </w:rPr>
        <w:t>”</w:t>
      </w:r>
      <w:r w:rsidRPr="00B635A2">
        <w:rPr>
          <w:rFonts w:ascii="Tahoma" w:eastAsia="Tahoma" w:hAnsi="Tahoma" w:cs="Tahoma"/>
          <w:sz w:val="18"/>
          <w:szCs w:val="18"/>
        </w:rPr>
        <w:t>.</w:t>
      </w:r>
    </w:p>
    <w:p w14:paraId="391304F8" w14:textId="77777777" w:rsidR="00B635A2" w:rsidRPr="00B635A2" w:rsidRDefault="00B635A2" w:rsidP="004E5C10">
      <w:pPr>
        <w:spacing w:line="0" w:lineRule="atLeast"/>
        <w:jc w:val="both"/>
        <w:rPr>
          <w:rFonts w:ascii="Tahoma" w:eastAsia="Tahoma" w:hAnsi="Tahoma" w:cs="Tahoma"/>
          <w:sz w:val="18"/>
          <w:szCs w:val="18"/>
        </w:rPr>
      </w:pPr>
      <w:r w:rsidRPr="00B635A2">
        <w:rPr>
          <w:rFonts w:ascii="Tahoma" w:eastAsia="Tahoma" w:hAnsi="Tahoma" w:cs="Tahoma"/>
          <w:sz w:val="18"/>
          <w:szCs w:val="18"/>
        </w:rPr>
        <w:t xml:space="preserve">Non manca infine l’impegno per la </w:t>
      </w:r>
      <w:r w:rsidRPr="00B635A2">
        <w:rPr>
          <w:rFonts w:ascii="Tahoma" w:eastAsia="Tahoma" w:hAnsi="Tahoma" w:cs="Tahoma"/>
          <w:b/>
          <w:bCs/>
          <w:sz w:val="18"/>
          <w:szCs w:val="18"/>
        </w:rPr>
        <w:t>parità di genere e l’inclusione</w:t>
      </w:r>
      <w:r w:rsidRPr="00B635A2">
        <w:rPr>
          <w:rFonts w:ascii="Tahoma" w:eastAsia="Tahoma" w:hAnsi="Tahoma" w:cs="Tahoma"/>
          <w:sz w:val="18"/>
          <w:szCs w:val="18"/>
        </w:rPr>
        <w:t>, un impegno riconosciuto anche dalla certificazione ottenuta lo scorso anno, che posiziona Banco Marchigiano tra le realtà bancarie più attente a questi temi in Italia.</w:t>
      </w:r>
    </w:p>
    <w:p w14:paraId="29B27D7B" w14:textId="77777777" w:rsidR="00B635A2" w:rsidRPr="00B635A2" w:rsidRDefault="00B635A2" w:rsidP="004E5C10">
      <w:pPr>
        <w:spacing w:line="0" w:lineRule="atLeast"/>
        <w:jc w:val="both"/>
        <w:rPr>
          <w:rFonts w:ascii="Tahoma" w:eastAsia="Tahoma" w:hAnsi="Tahoma" w:cs="Tahoma"/>
          <w:sz w:val="18"/>
          <w:szCs w:val="18"/>
        </w:rPr>
      </w:pPr>
      <w:r w:rsidRPr="00B635A2">
        <w:rPr>
          <w:rFonts w:ascii="Tahoma" w:eastAsia="Tahoma" w:hAnsi="Tahoma" w:cs="Tahoma"/>
          <w:sz w:val="18"/>
          <w:szCs w:val="18"/>
        </w:rPr>
        <w:t xml:space="preserve">“Tutto questo è possibile grazie al lavoro di squadra e alla passione delle nostre persone – conclude </w:t>
      </w:r>
      <w:r w:rsidRPr="00B82D99">
        <w:rPr>
          <w:rFonts w:ascii="Tahoma" w:eastAsia="Tahoma" w:hAnsi="Tahoma" w:cs="Tahoma"/>
          <w:b/>
          <w:bCs/>
          <w:sz w:val="18"/>
          <w:szCs w:val="18"/>
        </w:rPr>
        <w:t>Tombolin</w:t>
      </w:r>
      <w:r w:rsidRPr="00B635A2">
        <w:rPr>
          <w:rFonts w:ascii="Tahoma" w:eastAsia="Tahoma" w:hAnsi="Tahoma" w:cs="Tahoma"/>
          <w:sz w:val="18"/>
          <w:szCs w:val="18"/>
        </w:rPr>
        <w:t>i – Il Banco Marchigiano è e vuole continuare a essere un motore di sviluppo per il territorio, da Pesaro al Fermano, fino all’Abruzzo”.</w:t>
      </w:r>
    </w:p>
    <w:p w14:paraId="3F8493ED" w14:textId="77777777" w:rsidR="002F2EC4" w:rsidRDefault="002F2EC4" w:rsidP="002F2EC4">
      <w:pPr>
        <w:jc w:val="both"/>
        <w:rPr>
          <w:rFonts w:ascii="Tahoma" w:eastAsia="Tahoma" w:hAnsi="Tahoma" w:cs="Tahoma"/>
          <w:sz w:val="18"/>
          <w:szCs w:val="18"/>
        </w:rPr>
      </w:pPr>
    </w:p>
    <w:p w14:paraId="499EC152" w14:textId="77777777" w:rsidR="00D2546F" w:rsidRDefault="00D2546F" w:rsidP="002F2EC4">
      <w:pPr>
        <w:jc w:val="both"/>
        <w:rPr>
          <w:rFonts w:ascii="Tahoma" w:eastAsia="Tahoma" w:hAnsi="Tahoma" w:cs="Tahoma"/>
          <w:sz w:val="18"/>
          <w:szCs w:val="18"/>
        </w:rPr>
      </w:pPr>
    </w:p>
    <w:p w14:paraId="41B0E12D" w14:textId="77777777" w:rsidR="00602AD6" w:rsidRDefault="00602AD6" w:rsidP="002F2EC4">
      <w:pPr>
        <w:jc w:val="both"/>
        <w:rPr>
          <w:rFonts w:ascii="Tahoma" w:eastAsia="Tahoma" w:hAnsi="Tahoma" w:cs="Tahoma"/>
          <w:sz w:val="18"/>
          <w:szCs w:val="18"/>
        </w:rPr>
      </w:pPr>
    </w:p>
    <w:p w14:paraId="64AE64DE" w14:textId="77777777" w:rsidR="00602AD6" w:rsidRDefault="00602AD6" w:rsidP="002F2EC4">
      <w:pPr>
        <w:jc w:val="both"/>
        <w:rPr>
          <w:rFonts w:ascii="Tahoma" w:eastAsia="Tahoma" w:hAnsi="Tahoma" w:cs="Tahoma"/>
          <w:sz w:val="18"/>
          <w:szCs w:val="18"/>
        </w:rPr>
      </w:pPr>
    </w:p>
    <w:p w14:paraId="3DAA44D9" w14:textId="77777777" w:rsidR="00602AD6" w:rsidRDefault="00602AD6" w:rsidP="002F2EC4">
      <w:pPr>
        <w:jc w:val="both"/>
        <w:rPr>
          <w:rFonts w:ascii="Tahoma" w:eastAsia="Tahoma" w:hAnsi="Tahoma" w:cs="Tahoma"/>
          <w:sz w:val="18"/>
          <w:szCs w:val="18"/>
        </w:rPr>
      </w:pPr>
    </w:p>
    <w:p w14:paraId="10904CA3" w14:textId="77777777" w:rsidR="00602AD6" w:rsidRDefault="00602AD6" w:rsidP="002F2EC4">
      <w:pPr>
        <w:jc w:val="both"/>
        <w:rPr>
          <w:rFonts w:ascii="Tahoma" w:eastAsia="Tahoma" w:hAnsi="Tahoma" w:cs="Tahoma"/>
          <w:sz w:val="18"/>
          <w:szCs w:val="18"/>
        </w:rPr>
      </w:pPr>
    </w:p>
    <w:p w14:paraId="36029889" w14:textId="77777777" w:rsidR="00602AD6" w:rsidRDefault="00602AD6" w:rsidP="002F2EC4">
      <w:pPr>
        <w:jc w:val="both"/>
        <w:rPr>
          <w:rFonts w:ascii="Tahoma" w:eastAsia="Tahoma" w:hAnsi="Tahoma" w:cs="Tahoma"/>
          <w:sz w:val="18"/>
          <w:szCs w:val="18"/>
        </w:rPr>
      </w:pPr>
    </w:p>
    <w:p w14:paraId="255062D2" w14:textId="77777777" w:rsidR="00602AD6" w:rsidRDefault="00602AD6" w:rsidP="002F2EC4">
      <w:pPr>
        <w:jc w:val="both"/>
        <w:rPr>
          <w:rFonts w:ascii="Tahoma" w:eastAsia="Tahoma" w:hAnsi="Tahoma" w:cs="Tahoma"/>
          <w:sz w:val="18"/>
          <w:szCs w:val="18"/>
        </w:rPr>
      </w:pPr>
    </w:p>
    <w:p w14:paraId="4C5F12BE" w14:textId="77777777" w:rsidR="00602AD6" w:rsidRDefault="00602AD6" w:rsidP="002F2EC4">
      <w:pPr>
        <w:jc w:val="both"/>
        <w:rPr>
          <w:rFonts w:ascii="Tahoma" w:eastAsia="Tahoma" w:hAnsi="Tahoma" w:cs="Tahoma"/>
          <w:sz w:val="18"/>
          <w:szCs w:val="18"/>
        </w:rPr>
      </w:pPr>
    </w:p>
    <w:p w14:paraId="32B5E027" w14:textId="77777777" w:rsidR="00602AD6" w:rsidRDefault="00602AD6" w:rsidP="002F2EC4">
      <w:pPr>
        <w:jc w:val="both"/>
        <w:rPr>
          <w:rFonts w:ascii="Tahoma" w:eastAsia="Tahoma" w:hAnsi="Tahoma" w:cs="Tahoma"/>
          <w:sz w:val="18"/>
          <w:szCs w:val="18"/>
        </w:rPr>
      </w:pPr>
    </w:p>
    <w:p w14:paraId="6DD56F61" w14:textId="77777777" w:rsidR="00602AD6" w:rsidRDefault="00602AD6" w:rsidP="002F2EC4">
      <w:pPr>
        <w:jc w:val="both"/>
        <w:rPr>
          <w:rFonts w:ascii="Tahoma" w:eastAsia="Tahoma" w:hAnsi="Tahoma" w:cs="Tahoma"/>
          <w:sz w:val="18"/>
          <w:szCs w:val="18"/>
        </w:rPr>
      </w:pPr>
    </w:p>
    <w:p w14:paraId="29C53AC4" w14:textId="77777777" w:rsidR="00602AD6" w:rsidRPr="002F2EC4" w:rsidRDefault="00602AD6" w:rsidP="002F2EC4">
      <w:pPr>
        <w:jc w:val="both"/>
        <w:rPr>
          <w:rFonts w:ascii="Tahoma" w:eastAsia="Tahoma" w:hAnsi="Tahoma" w:cs="Tahoma"/>
          <w:sz w:val="18"/>
          <w:szCs w:val="18"/>
        </w:rPr>
      </w:pPr>
    </w:p>
    <w:tbl>
      <w:tblPr>
        <w:tblW w:w="70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1418"/>
        <w:gridCol w:w="1432"/>
      </w:tblGrid>
      <w:tr w:rsidR="002F2EC4" w:rsidRPr="002F2EC4" w14:paraId="13E7F760" w14:textId="77777777" w:rsidTr="00236C07">
        <w:trPr>
          <w:trHeight w:val="300"/>
          <w:jc w:val="center"/>
        </w:trPr>
        <w:tc>
          <w:tcPr>
            <w:tcW w:w="4243" w:type="dxa"/>
            <w:tcBorders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B46C5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86E78F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6E1352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2F2EC4" w:rsidRPr="002F2EC4" w14:paraId="52338D4E" w14:textId="77777777" w:rsidTr="00236C07">
        <w:trPr>
          <w:trHeight w:val="810"/>
          <w:jc w:val="center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0053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09D566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color w:val="FFFFFF" w:themeColor="background1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Raccolta e impeghi (in milioni di euro)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808080"/>
              <w:right w:val="nil"/>
            </w:tcBorders>
            <w:shd w:val="clear" w:color="auto" w:fill="0053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C7463" w14:textId="77777777" w:rsidR="002F2EC4" w:rsidRPr="002F2EC4" w:rsidRDefault="002F2EC4" w:rsidP="00904C9C">
            <w:pPr>
              <w:jc w:val="center"/>
              <w:rPr>
                <w:rFonts w:ascii="Tahoma" w:eastAsia="Tahoma" w:hAnsi="Tahoma" w:cs="Tahoma"/>
                <w:color w:val="FFFFFF" w:themeColor="background1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2024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0053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9B4A3" w14:textId="77777777" w:rsidR="002F2EC4" w:rsidRPr="002F2EC4" w:rsidRDefault="002F2EC4" w:rsidP="00904C9C">
            <w:pPr>
              <w:jc w:val="center"/>
              <w:rPr>
                <w:rFonts w:ascii="Tahoma" w:eastAsia="Tahoma" w:hAnsi="Tahoma" w:cs="Tahoma"/>
                <w:color w:val="FFFFFF" w:themeColor="background1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variazione annuale</w:t>
            </w:r>
          </w:p>
        </w:tc>
      </w:tr>
      <w:tr w:rsidR="002F2EC4" w:rsidRPr="002F2EC4" w14:paraId="5FBCE2E8" w14:textId="77777777" w:rsidTr="00236C07">
        <w:trPr>
          <w:trHeight w:val="199"/>
          <w:jc w:val="center"/>
        </w:trPr>
        <w:tc>
          <w:tcPr>
            <w:tcW w:w="424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0DD1B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F05BC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BEE96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2F2EC4" w:rsidRPr="002F2EC4" w14:paraId="2A1481FF" w14:textId="77777777" w:rsidTr="00236C07">
        <w:trPr>
          <w:trHeight w:val="405"/>
          <w:jc w:val="center"/>
        </w:trPr>
        <w:tc>
          <w:tcPr>
            <w:tcW w:w="424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9C621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Raccolta diretta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2D6C0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                 981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559D8" w14:textId="77777777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+6,8%</w:t>
            </w:r>
          </w:p>
        </w:tc>
      </w:tr>
      <w:tr w:rsidR="002F2EC4" w:rsidRPr="002F2EC4" w14:paraId="107D2C4C" w14:textId="77777777" w:rsidTr="00236C07">
        <w:trPr>
          <w:trHeight w:val="405"/>
          <w:jc w:val="center"/>
        </w:trPr>
        <w:tc>
          <w:tcPr>
            <w:tcW w:w="424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BD4E6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Raccolta indiretta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35D68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                 543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367AC" w14:textId="77777777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+14,9%</w:t>
            </w:r>
          </w:p>
        </w:tc>
      </w:tr>
      <w:tr w:rsidR="002F2EC4" w:rsidRPr="002F2EC4" w14:paraId="29976D06" w14:textId="77777777" w:rsidTr="00236C07">
        <w:trPr>
          <w:trHeight w:val="405"/>
          <w:jc w:val="center"/>
        </w:trPr>
        <w:tc>
          <w:tcPr>
            <w:tcW w:w="424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907FF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lastRenderedPageBreak/>
              <w:t>Raccolta complessiva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497CE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              1.524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08F55" w14:textId="41BA0623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+9,5%</w:t>
            </w:r>
          </w:p>
        </w:tc>
      </w:tr>
      <w:tr w:rsidR="002F2EC4" w:rsidRPr="002F2EC4" w14:paraId="75D28F97" w14:textId="77777777" w:rsidTr="00236C07">
        <w:trPr>
          <w:trHeight w:val="405"/>
          <w:jc w:val="center"/>
        </w:trPr>
        <w:tc>
          <w:tcPr>
            <w:tcW w:w="4243" w:type="dxa"/>
            <w:tcBorders>
              <w:top w:val="single" w:sz="8" w:space="0" w:color="808080"/>
              <w:left w:val="single" w:sz="8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E3B0C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Finanziamenti netti a clientela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C1A38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                 559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6AE89" w14:textId="696D257C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+4,</w:t>
            </w:r>
            <w:r w:rsidR="00641298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8</w:t>
            </w: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</w:p>
        </w:tc>
      </w:tr>
      <w:tr w:rsidR="002F2EC4" w:rsidRPr="002F2EC4" w14:paraId="16CE3E78" w14:textId="77777777" w:rsidTr="00236C07">
        <w:trPr>
          <w:trHeight w:val="405"/>
          <w:jc w:val="center"/>
        </w:trPr>
        <w:tc>
          <w:tcPr>
            <w:tcW w:w="4243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DB7B2F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18021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D6BD3" w14:textId="77777777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2F2EC4" w:rsidRPr="002F2EC4" w14:paraId="1CE47CDD" w14:textId="77777777" w:rsidTr="00236C07">
        <w:trPr>
          <w:trHeight w:val="570"/>
          <w:jc w:val="center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808080"/>
            </w:tcBorders>
            <w:shd w:val="clear" w:color="auto" w:fill="0053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F39A5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color w:val="FFFFFF" w:themeColor="background1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Patrimonio e utile (in milioni di euro)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53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31D52" w14:textId="77777777" w:rsidR="002F2EC4" w:rsidRPr="002F2EC4" w:rsidRDefault="002F2EC4" w:rsidP="00904C9C">
            <w:pPr>
              <w:jc w:val="center"/>
              <w:rPr>
                <w:rFonts w:ascii="Tahoma" w:eastAsia="Tahoma" w:hAnsi="Tahoma" w:cs="Tahoma"/>
                <w:color w:val="FFFFFF" w:themeColor="background1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2024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808080"/>
              <w:bottom w:val="nil"/>
              <w:right w:val="single" w:sz="4" w:space="0" w:color="auto"/>
            </w:tcBorders>
            <w:shd w:val="clear" w:color="auto" w:fill="0053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8BD57" w14:textId="77777777" w:rsidR="002F2EC4" w:rsidRPr="002F2EC4" w:rsidRDefault="002F2EC4" w:rsidP="00904C9C">
            <w:pPr>
              <w:jc w:val="center"/>
              <w:rPr>
                <w:rFonts w:ascii="Tahoma" w:eastAsia="Tahoma" w:hAnsi="Tahoma" w:cs="Tahoma"/>
                <w:color w:val="FFFFFF" w:themeColor="background1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variazione annuale</w:t>
            </w:r>
          </w:p>
        </w:tc>
      </w:tr>
      <w:tr w:rsidR="002F2EC4" w:rsidRPr="002F2EC4" w14:paraId="3FFDD904" w14:textId="77777777" w:rsidTr="00236C07">
        <w:trPr>
          <w:trHeight w:val="199"/>
          <w:jc w:val="center"/>
        </w:trPr>
        <w:tc>
          <w:tcPr>
            <w:tcW w:w="424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96DDFD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EF320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1DFA6" w14:textId="77777777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2F2EC4" w:rsidRPr="002F2EC4" w14:paraId="466E922C" w14:textId="77777777" w:rsidTr="00236C07">
        <w:trPr>
          <w:trHeight w:val="405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B5602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Patrimonio netto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F3F3F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              101,6</w:t>
            </w:r>
          </w:p>
        </w:tc>
        <w:tc>
          <w:tcPr>
            <w:tcW w:w="1432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A60C1" w14:textId="77777777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+14%</w:t>
            </w:r>
          </w:p>
        </w:tc>
      </w:tr>
      <w:tr w:rsidR="002F2EC4" w:rsidRPr="002F2EC4" w14:paraId="6810DD7C" w14:textId="77777777" w:rsidTr="00236C07">
        <w:trPr>
          <w:trHeight w:val="405"/>
          <w:jc w:val="center"/>
        </w:trPr>
        <w:tc>
          <w:tcPr>
            <w:tcW w:w="4243" w:type="dxa"/>
            <w:tcBorders>
              <w:top w:val="single" w:sz="8" w:space="0" w:color="808080"/>
              <w:left w:val="single" w:sz="8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A7575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Utile netto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8CA51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                12,5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663D5" w14:textId="77777777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+53,3%</w:t>
            </w:r>
          </w:p>
        </w:tc>
      </w:tr>
      <w:tr w:rsidR="002F2EC4" w:rsidRPr="002F2EC4" w14:paraId="36FA5874" w14:textId="77777777" w:rsidTr="00236C07">
        <w:trPr>
          <w:trHeight w:val="405"/>
          <w:jc w:val="center"/>
        </w:trPr>
        <w:tc>
          <w:tcPr>
            <w:tcW w:w="4243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DC8AB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8342B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62C9D" w14:textId="77777777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2F2EC4" w:rsidRPr="002F2EC4" w14:paraId="43069ECD" w14:textId="77777777" w:rsidTr="00236C07">
        <w:trPr>
          <w:trHeight w:val="660"/>
          <w:jc w:val="center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808080"/>
            </w:tcBorders>
            <w:shd w:val="clear" w:color="auto" w:fill="0053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2036AD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color w:val="FFFFFF" w:themeColor="background1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Andamento dati economici (in migliaia di euro)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53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E7134" w14:textId="77777777" w:rsidR="002F2EC4" w:rsidRPr="002F2EC4" w:rsidRDefault="002F2EC4" w:rsidP="00904C9C">
            <w:pPr>
              <w:jc w:val="center"/>
              <w:rPr>
                <w:rFonts w:ascii="Tahoma" w:eastAsia="Tahoma" w:hAnsi="Tahoma" w:cs="Tahoma"/>
                <w:color w:val="FFFFFF" w:themeColor="background1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2024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808080"/>
              <w:bottom w:val="nil"/>
              <w:right w:val="single" w:sz="4" w:space="0" w:color="auto"/>
            </w:tcBorders>
            <w:shd w:val="clear" w:color="auto" w:fill="0053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99003" w14:textId="77777777" w:rsidR="002F2EC4" w:rsidRPr="002F2EC4" w:rsidRDefault="002F2EC4" w:rsidP="00904C9C">
            <w:pPr>
              <w:jc w:val="center"/>
              <w:rPr>
                <w:rFonts w:ascii="Tahoma" w:eastAsia="Tahoma" w:hAnsi="Tahoma" w:cs="Tahoma"/>
                <w:color w:val="FFFFFF" w:themeColor="background1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variazione annuale</w:t>
            </w:r>
          </w:p>
        </w:tc>
      </w:tr>
      <w:tr w:rsidR="002F2EC4" w:rsidRPr="002F2EC4" w14:paraId="0C58F6F9" w14:textId="77777777" w:rsidTr="00236C07">
        <w:trPr>
          <w:trHeight w:val="199"/>
          <w:jc w:val="center"/>
        </w:trPr>
        <w:tc>
          <w:tcPr>
            <w:tcW w:w="424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704E6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3D102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61178" w14:textId="77777777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2F2EC4" w:rsidRPr="002F2EC4" w14:paraId="7C393CDC" w14:textId="77777777" w:rsidTr="00236C07">
        <w:trPr>
          <w:trHeight w:val="405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761C8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Margine finanziario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F1FC1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             33.063</w:t>
            </w:r>
          </w:p>
        </w:tc>
        <w:tc>
          <w:tcPr>
            <w:tcW w:w="1432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210BE" w14:textId="77777777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+2,6%</w:t>
            </w:r>
          </w:p>
        </w:tc>
      </w:tr>
      <w:tr w:rsidR="002F2EC4" w:rsidRPr="002F2EC4" w14:paraId="746B070E" w14:textId="77777777" w:rsidTr="00236C07">
        <w:trPr>
          <w:trHeight w:val="405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0BD15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Commissioni nette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29D87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             11.863</w:t>
            </w:r>
          </w:p>
        </w:tc>
        <w:tc>
          <w:tcPr>
            <w:tcW w:w="1432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22825" w14:textId="77777777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+5,7%</w:t>
            </w:r>
          </w:p>
        </w:tc>
      </w:tr>
      <w:tr w:rsidR="002F2EC4" w:rsidRPr="002F2EC4" w14:paraId="17CC1F83" w14:textId="77777777" w:rsidTr="00236C07">
        <w:trPr>
          <w:trHeight w:val="405"/>
          <w:jc w:val="center"/>
        </w:trPr>
        <w:tc>
          <w:tcPr>
            <w:tcW w:w="4243" w:type="dxa"/>
            <w:tcBorders>
              <w:top w:val="single" w:sz="8" w:space="0" w:color="808080"/>
              <w:left w:val="single" w:sz="8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A886A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Margine  d'intermediazione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02CBD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             41.349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12D84" w14:textId="77777777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+2,5%</w:t>
            </w:r>
          </w:p>
        </w:tc>
      </w:tr>
      <w:tr w:rsidR="002F2EC4" w:rsidRPr="002F2EC4" w14:paraId="19CC4671" w14:textId="77777777" w:rsidTr="00236C07">
        <w:trPr>
          <w:trHeight w:val="405"/>
          <w:jc w:val="center"/>
        </w:trPr>
        <w:tc>
          <w:tcPr>
            <w:tcW w:w="4243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19020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2E38E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0A6D0" w14:textId="77777777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2F2EC4" w:rsidRPr="002F2EC4" w14:paraId="33614BF4" w14:textId="77777777" w:rsidTr="00236C07">
        <w:trPr>
          <w:trHeight w:val="855"/>
          <w:jc w:val="center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808080"/>
            </w:tcBorders>
            <w:shd w:val="clear" w:color="auto" w:fill="0053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71E76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color w:val="FFFFFF" w:themeColor="background1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Indicatori di solidità patrimoniale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53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884A9" w14:textId="77777777" w:rsidR="002F2EC4" w:rsidRPr="002F2EC4" w:rsidRDefault="002F2EC4" w:rsidP="00904C9C">
            <w:pPr>
              <w:jc w:val="center"/>
              <w:rPr>
                <w:rFonts w:ascii="Tahoma" w:eastAsia="Tahoma" w:hAnsi="Tahoma" w:cs="Tahoma"/>
                <w:color w:val="FFFFFF" w:themeColor="background1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2024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808080"/>
              <w:bottom w:val="nil"/>
              <w:right w:val="single" w:sz="4" w:space="0" w:color="auto"/>
            </w:tcBorders>
            <w:shd w:val="clear" w:color="auto" w:fill="0053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62188" w14:textId="77777777" w:rsidR="002F2EC4" w:rsidRPr="002F2EC4" w:rsidRDefault="002F2EC4" w:rsidP="00904C9C">
            <w:pPr>
              <w:jc w:val="center"/>
              <w:rPr>
                <w:rFonts w:ascii="Tahoma" w:eastAsia="Tahoma" w:hAnsi="Tahoma" w:cs="Tahoma"/>
                <w:color w:val="FFFFFF" w:themeColor="background1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Sistema bancario (30/06)</w:t>
            </w:r>
          </w:p>
        </w:tc>
      </w:tr>
      <w:tr w:rsidR="002F2EC4" w:rsidRPr="002F2EC4" w14:paraId="0EF1D541" w14:textId="77777777" w:rsidTr="00236C07">
        <w:trPr>
          <w:trHeight w:val="199"/>
          <w:jc w:val="center"/>
        </w:trPr>
        <w:tc>
          <w:tcPr>
            <w:tcW w:w="424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B988C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80295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7F228" w14:textId="77777777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2F2EC4" w:rsidRPr="002F2EC4" w14:paraId="05EE4844" w14:textId="77777777" w:rsidTr="00236C07">
        <w:trPr>
          <w:trHeight w:val="405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EE7AA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Cet1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A68C7" w14:textId="77777777" w:rsidR="002F2EC4" w:rsidRPr="002F2EC4" w:rsidRDefault="002F2EC4" w:rsidP="00F44F96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23,1%</w:t>
            </w:r>
          </w:p>
        </w:tc>
        <w:tc>
          <w:tcPr>
            <w:tcW w:w="1432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29C98" w14:textId="77777777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15,9%</w:t>
            </w:r>
          </w:p>
        </w:tc>
      </w:tr>
      <w:tr w:rsidR="002F2EC4" w:rsidRPr="002F2EC4" w14:paraId="420C6954" w14:textId="77777777" w:rsidTr="00236C07">
        <w:trPr>
          <w:trHeight w:val="405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71266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2F2EC4">
              <w:rPr>
                <w:rFonts w:ascii="Tahoma" w:eastAsia="Tahoma" w:hAnsi="Tahoma" w:cs="Tahoma"/>
                <w:sz w:val="18"/>
                <w:szCs w:val="18"/>
              </w:rPr>
              <w:t>Npls</w:t>
            </w:r>
            <w:proofErr w:type="spellEnd"/>
            <w:r w:rsidRPr="002F2EC4">
              <w:rPr>
                <w:rFonts w:ascii="Tahoma" w:eastAsia="Tahoma" w:hAnsi="Tahoma" w:cs="Tahoma"/>
                <w:sz w:val="18"/>
                <w:szCs w:val="18"/>
              </w:rPr>
              <w:t xml:space="preserve"> ratio netto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9A7A7" w14:textId="77777777" w:rsidR="002F2EC4" w:rsidRPr="002F2EC4" w:rsidRDefault="002F2EC4" w:rsidP="00F44F96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0,7%</w:t>
            </w:r>
          </w:p>
        </w:tc>
        <w:tc>
          <w:tcPr>
            <w:tcW w:w="1432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5167EC" w14:textId="77777777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1,5%</w:t>
            </w:r>
          </w:p>
        </w:tc>
      </w:tr>
      <w:tr w:rsidR="002F2EC4" w:rsidRPr="002F2EC4" w14:paraId="3DEE4FAB" w14:textId="77777777" w:rsidTr="00236C07">
        <w:trPr>
          <w:trHeight w:val="405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195E0" w14:textId="77777777" w:rsidR="002F2EC4" w:rsidRPr="002F2EC4" w:rsidRDefault="002F2EC4" w:rsidP="002F2EC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Coverage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FB4D4" w14:textId="77777777" w:rsidR="002F2EC4" w:rsidRPr="002F2EC4" w:rsidRDefault="002F2EC4" w:rsidP="00F44F96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sz w:val="18"/>
                <w:szCs w:val="18"/>
              </w:rPr>
              <w:t>78,5%</w:t>
            </w:r>
          </w:p>
        </w:tc>
        <w:tc>
          <w:tcPr>
            <w:tcW w:w="1432" w:type="dxa"/>
            <w:tcBorders>
              <w:top w:val="nil"/>
              <w:left w:val="single" w:sz="8" w:space="0" w:color="808080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8E5A3" w14:textId="77777777" w:rsidR="002F2EC4" w:rsidRPr="002F2EC4" w:rsidRDefault="002F2EC4" w:rsidP="00641298">
            <w:pPr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 w:rsidRPr="002F2EC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48,3%</w:t>
            </w:r>
          </w:p>
        </w:tc>
      </w:tr>
    </w:tbl>
    <w:p w14:paraId="7A732876" w14:textId="77777777" w:rsidR="002F2EC4" w:rsidRPr="002F2EC4" w:rsidRDefault="002F2EC4" w:rsidP="002F2EC4">
      <w:pPr>
        <w:jc w:val="both"/>
        <w:rPr>
          <w:rFonts w:ascii="Tahoma" w:eastAsia="Tahoma" w:hAnsi="Tahoma" w:cs="Tahoma"/>
          <w:sz w:val="18"/>
          <w:szCs w:val="18"/>
        </w:rPr>
      </w:pPr>
      <w:r w:rsidRPr="002F2EC4">
        <w:rPr>
          <w:rFonts w:ascii="Tahoma" w:eastAsia="Tahoma" w:hAnsi="Tahoma" w:cs="Tahoma"/>
          <w:sz w:val="18"/>
          <w:szCs w:val="18"/>
        </w:rPr>
        <w:t> </w:t>
      </w:r>
    </w:p>
    <w:p w14:paraId="2EE432CD" w14:textId="77777777" w:rsidR="002F2EC4" w:rsidRDefault="002F2EC4" w:rsidP="00415342">
      <w:pPr>
        <w:jc w:val="both"/>
        <w:rPr>
          <w:rFonts w:ascii="Tahoma" w:eastAsia="Tahoma" w:hAnsi="Tahoma" w:cs="Tahoma"/>
          <w:b/>
          <w:bCs/>
          <w:sz w:val="18"/>
          <w:szCs w:val="18"/>
        </w:rPr>
      </w:pPr>
    </w:p>
    <w:p w14:paraId="2464B1B4" w14:textId="77777777" w:rsidR="00135F71" w:rsidRPr="00A91B33" w:rsidRDefault="00135F71" w:rsidP="00135F71">
      <w:pPr>
        <w:rPr>
          <w:rFonts w:ascii="Tahoma" w:eastAsia="Tahoma" w:hAnsi="Tahoma" w:cs="Tahoma"/>
          <w:i/>
          <w:iCs/>
          <w:sz w:val="18"/>
          <w:szCs w:val="18"/>
        </w:rPr>
      </w:pPr>
    </w:p>
    <w:p w14:paraId="46020674" w14:textId="0FB9D83B" w:rsidR="00135F71" w:rsidRPr="00A91B33" w:rsidRDefault="00135F71" w:rsidP="00135F71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Nico Coppari</w:t>
      </w:r>
    </w:p>
    <w:p w14:paraId="56BE7598" w14:textId="77777777" w:rsidR="00135F71" w:rsidRPr="00A91B33" w:rsidRDefault="00135F71" w:rsidP="00135F71">
      <w:pPr>
        <w:rPr>
          <w:rFonts w:ascii="Tahoma" w:eastAsia="Tahoma" w:hAnsi="Tahoma" w:cs="Tahoma"/>
          <w:b/>
          <w:sz w:val="18"/>
          <w:szCs w:val="18"/>
        </w:rPr>
      </w:pPr>
      <w:r w:rsidRPr="00A91B33">
        <w:rPr>
          <w:rFonts w:ascii="Tahoma" w:eastAsia="Tahoma" w:hAnsi="Tahoma" w:cs="Tahoma"/>
          <w:b/>
          <w:i/>
          <w:sz w:val="18"/>
          <w:szCs w:val="18"/>
        </w:rPr>
        <w:t xml:space="preserve">Ufficio Stampa </w:t>
      </w:r>
    </w:p>
    <w:p w14:paraId="63B21FCF" w14:textId="77777777" w:rsidR="00135F71" w:rsidRPr="00A91B33" w:rsidRDefault="00135F71" w:rsidP="00135F71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Banco Marchigiano – Credito Cooperativo</w:t>
      </w:r>
    </w:p>
    <w:p w14:paraId="437B2F00" w14:textId="77777777" w:rsidR="00135F71" w:rsidRPr="00A91B33" w:rsidRDefault="00135F71" w:rsidP="00135F71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M. 3398399859</w:t>
      </w:r>
    </w:p>
    <w:p w14:paraId="5F283421" w14:textId="77777777" w:rsidR="00135F71" w:rsidRPr="00277660" w:rsidRDefault="00135F71" w:rsidP="00415342">
      <w:pPr>
        <w:jc w:val="both"/>
        <w:rPr>
          <w:rFonts w:ascii="Tahoma" w:eastAsia="Tahoma" w:hAnsi="Tahoma" w:cs="Tahoma"/>
          <w:b/>
          <w:bCs/>
          <w:sz w:val="18"/>
          <w:szCs w:val="18"/>
        </w:rPr>
      </w:pPr>
    </w:p>
    <w:sectPr w:rsidR="00135F71" w:rsidRPr="00277660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FB76" w14:textId="77777777" w:rsidR="009D0BBD" w:rsidRDefault="009D0BBD">
      <w:r>
        <w:separator/>
      </w:r>
    </w:p>
  </w:endnote>
  <w:endnote w:type="continuationSeparator" w:id="0">
    <w:p w14:paraId="7B1EE298" w14:textId="77777777" w:rsidR="009D0BBD" w:rsidRDefault="009D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1DB8" w14:textId="67F10606" w:rsidR="005B046C" w:rsidRDefault="006D089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D83B9E" wp14:editId="5D643278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756997034" name="Rettangolo con angoli arrotondat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3C8E8" w14:textId="28D53800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6D83B9E" id="Rettangolo con angoli arrotondati 1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" filled="f" stroked="f">
              <v:textbox>
                <w:txbxContent>
                  <w:p w14:paraId="3073C8E8" w14:textId="28D53800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F537" w14:textId="77777777" w:rsidR="009D0BBD" w:rsidRDefault="009D0BBD">
      <w:r>
        <w:separator/>
      </w:r>
    </w:p>
  </w:footnote>
  <w:footnote w:type="continuationSeparator" w:id="0">
    <w:p w14:paraId="5EF43296" w14:textId="77777777" w:rsidR="009D0BBD" w:rsidRDefault="009D0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F380" w14:textId="77777777" w:rsidR="00544C5E" w:rsidRDefault="0001770A" w:rsidP="00530C9B">
    <w:pPr>
      <w:pStyle w:val="Intestazione"/>
      <w:ind w:right="480"/>
      <w:jc w:val="center"/>
    </w:pPr>
    <w:r>
      <w:rPr>
        <w:noProof/>
      </w:rPr>
      <w:drawing>
        <wp:inline distT="0" distB="0" distL="0" distR="0" wp14:anchorId="222215F8" wp14:editId="10B18F6E">
          <wp:extent cx="3393774" cy="1090434"/>
          <wp:effectExtent l="0" t="0" r="0" b="0"/>
          <wp:docPr id="7993299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752" cy="1137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D3BC9" w14:textId="77777777" w:rsidR="00544C5E" w:rsidRDefault="00544C5E" w:rsidP="0054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76650949">
    <w:abstractNumId w:val="4"/>
  </w:num>
  <w:num w:numId="2" w16cid:durableId="1076052412">
    <w:abstractNumId w:val="3"/>
  </w:num>
  <w:num w:numId="3" w16cid:durableId="1759056767">
    <w:abstractNumId w:val="0"/>
  </w:num>
  <w:num w:numId="4" w16cid:durableId="2018539096">
    <w:abstractNumId w:val="9"/>
  </w:num>
  <w:num w:numId="5" w16cid:durableId="157305849">
    <w:abstractNumId w:val="7"/>
  </w:num>
  <w:num w:numId="6" w16cid:durableId="1489056800">
    <w:abstractNumId w:val="8"/>
  </w:num>
  <w:num w:numId="7" w16cid:durableId="8677180">
    <w:abstractNumId w:val="5"/>
  </w:num>
  <w:num w:numId="8" w16cid:durableId="607087266">
    <w:abstractNumId w:val="2"/>
  </w:num>
  <w:num w:numId="9" w16cid:durableId="165853706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78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C1"/>
    <w:rsid w:val="00000A5F"/>
    <w:rsid w:val="00001DAE"/>
    <w:rsid w:val="00002715"/>
    <w:rsid w:val="00004798"/>
    <w:rsid w:val="000057AC"/>
    <w:rsid w:val="00007D13"/>
    <w:rsid w:val="00011875"/>
    <w:rsid w:val="000119DD"/>
    <w:rsid w:val="0001474F"/>
    <w:rsid w:val="00016771"/>
    <w:rsid w:val="0001770A"/>
    <w:rsid w:val="00021A58"/>
    <w:rsid w:val="00021A80"/>
    <w:rsid w:val="00023580"/>
    <w:rsid w:val="000257C1"/>
    <w:rsid w:val="000324BB"/>
    <w:rsid w:val="000335E5"/>
    <w:rsid w:val="00033A83"/>
    <w:rsid w:val="0003490E"/>
    <w:rsid w:val="000349AB"/>
    <w:rsid w:val="00035CB3"/>
    <w:rsid w:val="00036E6B"/>
    <w:rsid w:val="00037A39"/>
    <w:rsid w:val="00037C08"/>
    <w:rsid w:val="0004079C"/>
    <w:rsid w:val="00040F8B"/>
    <w:rsid w:val="000411D5"/>
    <w:rsid w:val="000417D2"/>
    <w:rsid w:val="00044165"/>
    <w:rsid w:val="0004462A"/>
    <w:rsid w:val="00045A99"/>
    <w:rsid w:val="00047D1B"/>
    <w:rsid w:val="00052279"/>
    <w:rsid w:val="00053262"/>
    <w:rsid w:val="00053EAB"/>
    <w:rsid w:val="000577A9"/>
    <w:rsid w:val="00062089"/>
    <w:rsid w:val="00062167"/>
    <w:rsid w:val="000631DA"/>
    <w:rsid w:val="000652E5"/>
    <w:rsid w:val="00067E67"/>
    <w:rsid w:val="0007019D"/>
    <w:rsid w:val="0007410F"/>
    <w:rsid w:val="0007728A"/>
    <w:rsid w:val="00077B62"/>
    <w:rsid w:val="00083251"/>
    <w:rsid w:val="00083812"/>
    <w:rsid w:val="000847E6"/>
    <w:rsid w:val="00085F1F"/>
    <w:rsid w:val="0008787A"/>
    <w:rsid w:val="00087BFB"/>
    <w:rsid w:val="00087F5B"/>
    <w:rsid w:val="000942A0"/>
    <w:rsid w:val="00094FAB"/>
    <w:rsid w:val="00095322"/>
    <w:rsid w:val="000978F2"/>
    <w:rsid w:val="000A0DBF"/>
    <w:rsid w:val="000A26E9"/>
    <w:rsid w:val="000A49BC"/>
    <w:rsid w:val="000A62D3"/>
    <w:rsid w:val="000A6444"/>
    <w:rsid w:val="000A67A0"/>
    <w:rsid w:val="000A6B14"/>
    <w:rsid w:val="000A78E3"/>
    <w:rsid w:val="000B0283"/>
    <w:rsid w:val="000B17C6"/>
    <w:rsid w:val="000B41A8"/>
    <w:rsid w:val="000B75A7"/>
    <w:rsid w:val="000B78C0"/>
    <w:rsid w:val="000C5152"/>
    <w:rsid w:val="000C57AA"/>
    <w:rsid w:val="000C78B8"/>
    <w:rsid w:val="000C7CD3"/>
    <w:rsid w:val="000D066A"/>
    <w:rsid w:val="000D0890"/>
    <w:rsid w:val="000D2982"/>
    <w:rsid w:val="000D3277"/>
    <w:rsid w:val="000D511F"/>
    <w:rsid w:val="000D524E"/>
    <w:rsid w:val="000D6849"/>
    <w:rsid w:val="000E024E"/>
    <w:rsid w:val="000E06E9"/>
    <w:rsid w:val="000E0E85"/>
    <w:rsid w:val="000E1964"/>
    <w:rsid w:val="000E19A0"/>
    <w:rsid w:val="000E1B5B"/>
    <w:rsid w:val="000E4C97"/>
    <w:rsid w:val="000E7A04"/>
    <w:rsid w:val="000E7D9C"/>
    <w:rsid w:val="000F0EEC"/>
    <w:rsid w:val="000F2D1F"/>
    <w:rsid w:val="000F38AA"/>
    <w:rsid w:val="000F437B"/>
    <w:rsid w:val="000F4847"/>
    <w:rsid w:val="000F5466"/>
    <w:rsid w:val="000F72D4"/>
    <w:rsid w:val="0010124C"/>
    <w:rsid w:val="0010207B"/>
    <w:rsid w:val="00103E42"/>
    <w:rsid w:val="00104241"/>
    <w:rsid w:val="00105E99"/>
    <w:rsid w:val="00106032"/>
    <w:rsid w:val="00107D70"/>
    <w:rsid w:val="00110E86"/>
    <w:rsid w:val="001159EF"/>
    <w:rsid w:val="001165EC"/>
    <w:rsid w:val="00116796"/>
    <w:rsid w:val="001167C0"/>
    <w:rsid w:val="00117245"/>
    <w:rsid w:val="0011755B"/>
    <w:rsid w:val="00117DCD"/>
    <w:rsid w:val="00122393"/>
    <w:rsid w:val="001232FC"/>
    <w:rsid w:val="0012382F"/>
    <w:rsid w:val="00123ED3"/>
    <w:rsid w:val="001240AE"/>
    <w:rsid w:val="00130A74"/>
    <w:rsid w:val="00130F73"/>
    <w:rsid w:val="00131A6F"/>
    <w:rsid w:val="00133535"/>
    <w:rsid w:val="00134427"/>
    <w:rsid w:val="00135F71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55865"/>
    <w:rsid w:val="00160BA4"/>
    <w:rsid w:val="00161292"/>
    <w:rsid w:val="00163DBB"/>
    <w:rsid w:val="00164728"/>
    <w:rsid w:val="00165A22"/>
    <w:rsid w:val="001726F0"/>
    <w:rsid w:val="001760FD"/>
    <w:rsid w:val="001771CD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95ABA"/>
    <w:rsid w:val="00197B9F"/>
    <w:rsid w:val="001A3370"/>
    <w:rsid w:val="001A5201"/>
    <w:rsid w:val="001A6763"/>
    <w:rsid w:val="001B24D4"/>
    <w:rsid w:val="001B5A09"/>
    <w:rsid w:val="001B5C4E"/>
    <w:rsid w:val="001B6214"/>
    <w:rsid w:val="001B623F"/>
    <w:rsid w:val="001C5999"/>
    <w:rsid w:val="001C687A"/>
    <w:rsid w:val="001C6991"/>
    <w:rsid w:val="001C7430"/>
    <w:rsid w:val="001C7E74"/>
    <w:rsid w:val="001D09A4"/>
    <w:rsid w:val="001D214C"/>
    <w:rsid w:val="001D463F"/>
    <w:rsid w:val="001D54EA"/>
    <w:rsid w:val="001D7DCC"/>
    <w:rsid w:val="001E17B1"/>
    <w:rsid w:val="001E2BEB"/>
    <w:rsid w:val="001E409C"/>
    <w:rsid w:val="001E4B7C"/>
    <w:rsid w:val="001E51D7"/>
    <w:rsid w:val="001E5C9C"/>
    <w:rsid w:val="001E7314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27C43"/>
    <w:rsid w:val="00230C71"/>
    <w:rsid w:val="002324EA"/>
    <w:rsid w:val="00233BCF"/>
    <w:rsid w:val="002365B9"/>
    <w:rsid w:val="00236C07"/>
    <w:rsid w:val="002401B5"/>
    <w:rsid w:val="00241C2F"/>
    <w:rsid w:val="00242059"/>
    <w:rsid w:val="00242CAE"/>
    <w:rsid w:val="002431A6"/>
    <w:rsid w:val="002446B4"/>
    <w:rsid w:val="00245624"/>
    <w:rsid w:val="00245781"/>
    <w:rsid w:val="0025202A"/>
    <w:rsid w:val="00252647"/>
    <w:rsid w:val="0025292C"/>
    <w:rsid w:val="00253BAB"/>
    <w:rsid w:val="00265274"/>
    <w:rsid w:val="0026596D"/>
    <w:rsid w:val="00266BB6"/>
    <w:rsid w:val="00271CB2"/>
    <w:rsid w:val="00272916"/>
    <w:rsid w:val="002742B2"/>
    <w:rsid w:val="00275658"/>
    <w:rsid w:val="002772BF"/>
    <w:rsid w:val="00277660"/>
    <w:rsid w:val="002807E6"/>
    <w:rsid w:val="00280FE3"/>
    <w:rsid w:val="00283F1A"/>
    <w:rsid w:val="0028484D"/>
    <w:rsid w:val="00285F04"/>
    <w:rsid w:val="002870F8"/>
    <w:rsid w:val="00287EDA"/>
    <w:rsid w:val="002901CF"/>
    <w:rsid w:val="00290510"/>
    <w:rsid w:val="002949F5"/>
    <w:rsid w:val="002972D3"/>
    <w:rsid w:val="002A0F34"/>
    <w:rsid w:val="002A4740"/>
    <w:rsid w:val="002A47CB"/>
    <w:rsid w:val="002A66FB"/>
    <w:rsid w:val="002A7180"/>
    <w:rsid w:val="002B0268"/>
    <w:rsid w:val="002B1BED"/>
    <w:rsid w:val="002B391F"/>
    <w:rsid w:val="002B57BA"/>
    <w:rsid w:val="002B656B"/>
    <w:rsid w:val="002C1BC4"/>
    <w:rsid w:val="002C39D2"/>
    <w:rsid w:val="002C7BD8"/>
    <w:rsid w:val="002C7CF8"/>
    <w:rsid w:val="002D058E"/>
    <w:rsid w:val="002D416E"/>
    <w:rsid w:val="002D4527"/>
    <w:rsid w:val="002D5172"/>
    <w:rsid w:val="002D5AFB"/>
    <w:rsid w:val="002D5CC4"/>
    <w:rsid w:val="002E02C2"/>
    <w:rsid w:val="002E0343"/>
    <w:rsid w:val="002E4BB5"/>
    <w:rsid w:val="002E50AC"/>
    <w:rsid w:val="002F271D"/>
    <w:rsid w:val="002F2EC4"/>
    <w:rsid w:val="002F323C"/>
    <w:rsid w:val="002F4E17"/>
    <w:rsid w:val="002F6A8A"/>
    <w:rsid w:val="002F79AC"/>
    <w:rsid w:val="00300008"/>
    <w:rsid w:val="00302F63"/>
    <w:rsid w:val="00307B9F"/>
    <w:rsid w:val="003106C4"/>
    <w:rsid w:val="003118B5"/>
    <w:rsid w:val="00315E32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484"/>
    <w:rsid w:val="00343FC8"/>
    <w:rsid w:val="00354F1E"/>
    <w:rsid w:val="00355514"/>
    <w:rsid w:val="0035661D"/>
    <w:rsid w:val="003602FD"/>
    <w:rsid w:val="00360DB1"/>
    <w:rsid w:val="00362DD4"/>
    <w:rsid w:val="003700E9"/>
    <w:rsid w:val="00371E19"/>
    <w:rsid w:val="00372776"/>
    <w:rsid w:val="003742EB"/>
    <w:rsid w:val="00377D5D"/>
    <w:rsid w:val="00380997"/>
    <w:rsid w:val="00380D7F"/>
    <w:rsid w:val="00381C1C"/>
    <w:rsid w:val="00382E9E"/>
    <w:rsid w:val="00383FB3"/>
    <w:rsid w:val="00385F4B"/>
    <w:rsid w:val="003873FE"/>
    <w:rsid w:val="00390A58"/>
    <w:rsid w:val="00393829"/>
    <w:rsid w:val="00395163"/>
    <w:rsid w:val="003954EB"/>
    <w:rsid w:val="00395B5D"/>
    <w:rsid w:val="00396967"/>
    <w:rsid w:val="00397B31"/>
    <w:rsid w:val="003A05D0"/>
    <w:rsid w:val="003A2AE4"/>
    <w:rsid w:val="003A62DD"/>
    <w:rsid w:val="003A7A10"/>
    <w:rsid w:val="003B0DCE"/>
    <w:rsid w:val="003B153A"/>
    <w:rsid w:val="003B2152"/>
    <w:rsid w:val="003B6DB2"/>
    <w:rsid w:val="003B7801"/>
    <w:rsid w:val="003B7CE1"/>
    <w:rsid w:val="003C017F"/>
    <w:rsid w:val="003C2AAE"/>
    <w:rsid w:val="003C46F2"/>
    <w:rsid w:val="003C5CEB"/>
    <w:rsid w:val="003D1609"/>
    <w:rsid w:val="003D232F"/>
    <w:rsid w:val="003D3C3B"/>
    <w:rsid w:val="003D5B65"/>
    <w:rsid w:val="003D7A27"/>
    <w:rsid w:val="003E2426"/>
    <w:rsid w:val="003E2CA9"/>
    <w:rsid w:val="003E3872"/>
    <w:rsid w:val="003E4862"/>
    <w:rsid w:val="003E5B19"/>
    <w:rsid w:val="003E5F6F"/>
    <w:rsid w:val="003E67CE"/>
    <w:rsid w:val="003E68E0"/>
    <w:rsid w:val="003F3F3B"/>
    <w:rsid w:val="003F63F4"/>
    <w:rsid w:val="00401187"/>
    <w:rsid w:val="004044B7"/>
    <w:rsid w:val="00404A7D"/>
    <w:rsid w:val="004062D8"/>
    <w:rsid w:val="004068E9"/>
    <w:rsid w:val="00406F0A"/>
    <w:rsid w:val="004071E9"/>
    <w:rsid w:val="00415342"/>
    <w:rsid w:val="00415955"/>
    <w:rsid w:val="00415A78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5B8"/>
    <w:rsid w:val="00435658"/>
    <w:rsid w:val="00435A17"/>
    <w:rsid w:val="00435CD4"/>
    <w:rsid w:val="00435E19"/>
    <w:rsid w:val="004410EC"/>
    <w:rsid w:val="00441A59"/>
    <w:rsid w:val="00443968"/>
    <w:rsid w:val="004439B6"/>
    <w:rsid w:val="00452970"/>
    <w:rsid w:val="0045587D"/>
    <w:rsid w:val="00456D25"/>
    <w:rsid w:val="00460D89"/>
    <w:rsid w:val="00461B39"/>
    <w:rsid w:val="00463B62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13C"/>
    <w:rsid w:val="004803A0"/>
    <w:rsid w:val="00482051"/>
    <w:rsid w:val="004832CD"/>
    <w:rsid w:val="00485834"/>
    <w:rsid w:val="004877B2"/>
    <w:rsid w:val="0049103F"/>
    <w:rsid w:val="0049134C"/>
    <w:rsid w:val="00491BFC"/>
    <w:rsid w:val="004946E7"/>
    <w:rsid w:val="0049587E"/>
    <w:rsid w:val="00495D0B"/>
    <w:rsid w:val="004977EE"/>
    <w:rsid w:val="004A413A"/>
    <w:rsid w:val="004A667A"/>
    <w:rsid w:val="004A7F7F"/>
    <w:rsid w:val="004B09A2"/>
    <w:rsid w:val="004B2107"/>
    <w:rsid w:val="004B4581"/>
    <w:rsid w:val="004B6D6E"/>
    <w:rsid w:val="004B72B5"/>
    <w:rsid w:val="004C0489"/>
    <w:rsid w:val="004C0984"/>
    <w:rsid w:val="004C21B1"/>
    <w:rsid w:val="004C2524"/>
    <w:rsid w:val="004C52F9"/>
    <w:rsid w:val="004C6F4B"/>
    <w:rsid w:val="004C6F7E"/>
    <w:rsid w:val="004D1D9A"/>
    <w:rsid w:val="004D2668"/>
    <w:rsid w:val="004D2CEB"/>
    <w:rsid w:val="004D6B2E"/>
    <w:rsid w:val="004D7C7B"/>
    <w:rsid w:val="004E3E0B"/>
    <w:rsid w:val="004E4863"/>
    <w:rsid w:val="004E4B86"/>
    <w:rsid w:val="004E51F2"/>
    <w:rsid w:val="004E58EA"/>
    <w:rsid w:val="004E5C10"/>
    <w:rsid w:val="004E6329"/>
    <w:rsid w:val="004F064D"/>
    <w:rsid w:val="004F187E"/>
    <w:rsid w:val="004F2422"/>
    <w:rsid w:val="004F4227"/>
    <w:rsid w:val="004F5B19"/>
    <w:rsid w:val="004F7180"/>
    <w:rsid w:val="00500EAE"/>
    <w:rsid w:val="00501BFB"/>
    <w:rsid w:val="00502BF2"/>
    <w:rsid w:val="005045CD"/>
    <w:rsid w:val="005068CD"/>
    <w:rsid w:val="00510512"/>
    <w:rsid w:val="00511EA5"/>
    <w:rsid w:val="005140B4"/>
    <w:rsid w:val="005150B3"/>
    <w:rsid w:val="00516018"/>
    <w:rsid w:val="005176BF"/>
    <w:rsid w:val="00517F84"/>
    <w:rsid w:val="00520F88"/>
    <w:rsid w:val="00525BDF"/>
    <w:rsid w:val="00530C9B"/>
    <w:rsid w:val="0053356E"/>
    <w:rsid w:val="005342CF"/>
    <w:rsid w:val="005360FF"/>
    <w:rsid w:val="0054316B"/>
    <w:rsid w:val="00544C5E"/>
    <w:rsid w:val="00544F62"/>
    <w:rsid w:val="00545E93"/>
    <w:rsid w:val="00545EA6"/>
    <w:rsid w:val="005466B3"/>
    <w:rsid w:val="0054670D"/>
    <w:rsid w:val="00546A38"/>
    <w:rsid w:val="005504DF"/>
    <w:rsid w:val="00553341"/>
    <w:rsid w:val="005544B7"/>
    <w:rsid w:val="00554B3C"/>
    <w:rsid w:val="00555FF3"/>
    <w:rsid w:val="00556D7C"/>
    <w:rsid w:val="0055789E"/>
    <w:rsid w:val="00557EA6"/>
    <w:rsid w:val="005612CE"/>
    <w:rsid w:val="00563907"/>
    <w:rsid w:val="005648D5"/>
    <w:rsid w:val="0056619D"/>
    <w:rsid w:val="005712B2"/>
    <w:rsid w:val="0057158F"/>
    <w:rsid w:val="00571D4D"/>
    <w:rsid w:val="00574B69"/>
    <w:rsid w:val="0058580A"/>
    <w:rsid w:val="00586D3A"/>
    <w:rsid w:val="005871DD"/>
    <w:rsid w:val="00591F64"/>
    <w:rsid w:val="00592AA0"/>
    <w:rsid w:val="00592CE9"/>
    <w:rsid w:val="00593050"/>
    <w:rsid w:val="00597671"/>
    <w:rsid w:val="005A137F"/>
    <w:rsid w:val="005A2424"/>
    <w:rsid w:val="005A279E"/>
    <w:rsid w:val="005A2D1E"/>
    <w:rsid w:val="005A30D8"/>
    <w:rsid w:val="005A41D2"/>
    <w:rsid w:val="005A4D8D"/>
    <w:rsid w:val="005A57A2"/>
    <w:rsid w:val="005B046C"/>
    <w:rsid w:val="005B0972"/>
    <w:rsid w:val="005B09BE"/>
    <w:rsid w:val="005B3F9C"/>
    <w:rsid w:val="005C0B30"/>
    <w:rsid w:val="005C1D43"/>
    <w:rsid w:val="005C1FDC"/>
    <w:rsid w:val="005C28F5"/>
    <w:rsid w:val="005C50B1"/>
    <w:rsid w:val="005C51F8"/>
    <w:rsid w:val="005C54F4"/>
    <w:rsid w:val="005D0165"/>
    <w:rsid w:val="005D1D89"/>
    <w:rsid w:val="005D2AC3"/>
    <w:rsid w:val="005D7A8A"/>
    <w:rsid w:val="005E1449"/>
    <w:rsid w:val="005E17A5"/>
    <w:rsid w:val="005E3943"/>
    <w:rsid w:val="005E479B"/>
    <w:rsid w:val="005E6031"/>
    <w:rsid w:val="005E7474"/>
    <w:rsid w:val="005E7B8F"/>
    <w:rsid w:val="005F10EE"/>
    <w:rsid w:val="005F14B2"/>
    <w:rsid w:val="005F3C51"/>
    <w:rsid w:val="005F584E"/>
    <w:rsid w:val="005F64FF"/>
    <w:rsid w:val="005F6FF6"/>
    <w:rsid w:val="005F75D0"/>
    <w:rsid w:val="005F7C69"/>
    <w:rsid w:val="00600990"/>
    <w:rsid w:val="00602AD6"/>
    <w:rsid w:val="0061042E"/>
    <w:rsid w:val="006126C7"/>
    <w:rsid w:val="0061285D"/>
    <w:rsid w:val="006129A7"/>
    <w:rsid w:val="00613B46"/>
    <w:rsid w:val="00613F9C"/>
    <w:rsid w:val="00615FDC"/>
    <w:rsid w:val="0061685D"/>
    <w:rsid w:val="006176F1"/>
    <w:rsid w:val="00617F55"/>
    <w:rsid w:val="00620CE0"/>
    <w:rsid w:val="0062328C"/>
    <w:rsid w:val="006234C6"/>
    <w:rsid w:val="0062538B"/>
    <w:rsid w:val="00626A4C"/>
    <w:rsid w:val="00626D6F"/>
    <w:rsid w:val="00631232"/>
    <w:rsid w:val="00631A85"/>
    <w:rsid w:val="00631F64"/>
    <w:rsid w:val="00632C58"/>
    <w:rsid w:val="00635053"/>
    <w:rsid w:val="00635455"/>
    <w:rsid w:val="00640738"/>
    <w:rsid w:val="00641298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567EB"/>
    <w:rsid w:val="0066055F"/>
    <w:rsid w:val="00661E3A"/>
    <w:rsid w:val="00663143"/>
    <w:rsid w:val="006650FE"/>
    <w:rsid w:val="00665C51"/>
    <w:rsid w:val="00666518"/>
    <w:rsid w:val="00667EDA"/>
    <w:rsid w:val="00671323"/>
    <w:rsid w:val="006718B8"/>
    <w:rsid w:val="00671A5A"/>
    <w:rsid w:val="00674EAA"/>
    <w:rsid w:val="006763FD"/>
    <w:rsid w:val="00676D8E"/>
    <w:rsid w:val="00676F97"/>
    <w:rsid w:val="00677555"/>
    <w:rsid w:val="006779F6"/>
    <w:rsid w:val="006802F9"/>
    <w:rsid w:val="00682676"/>
    <w:rsid w:val="00683BA1"/>
    <w:rsid w:val="0068658E"/>
    <w:rsid w:val="00687EDC"/>
    <w:rsid w:val="00691340"/>
    <w:rsid w:val="00692BB1"/>
    <w:rsid w:val="0069402A"/>
    <w:rsid w:val="006956D5"/>
    <w:rsid w:val="00695CD5"/>
    <w:rsid w:val="006A0991"/>
    <w:rsid w:val="006A25EE"/>
    <w:rsid w:val="006A39D4"/>
    <w:rsid w:val="006A3BA7"/>
    <w:rsid w:val="006B05A2"/>
    <w:rsid w:val="006B2E1E"/>
    <w:rsid w:val="006B36F4"/>
    <w:rsid w:val="006B435B"/>
    <w:rsid w:val="006B5503"/>
    <w:rsid w:val="006B66C9"/>
    <w:rsid w:val="006B6E8A"/>
    <w:rsid w:val="006B7856"/>
    <w:rsid w:val="006B7FD1"/>
    <w:rsid w:val="006C1F69"/>
    <w:rsid w:val="006C3081"/>
    <w:rsid w:val="006C3296"/>
    <w:rsid w:val="006C4CDB"/>
    <w:rsid w:val="006C682E"/>
    <w:rsid w:val="006C756B"/>
    <w:rsid w:val="006C75F6"/>
    <w:rsid w:val="006C7666"/>
    <w:rsid w:val="006C79DD"/>
    <w:rsid w:val="006D01B0"/>
    <w:rsid w:val="006D0896"/>
    <w:rsid w:val="006D3218"/>
    <w:rsid w:val="006D3B4D"/>
    <w:rsid w:val="006D4167"/>
    <w:rsid w:val="006D456C"/>
    <w:rsid w:val="006D669D"/>
    <w:rsid w:val="006D6FFC"/>
    <w:rsid w:val="006E0193"/>
    <w:rsid w:val="006E225D"/>
    <w:rsid w:val="006E226F"/>
    <w:rsid w:val="006E38A3"/>
    <w:rsid w:val="006E3AF4"/>
    <w:rsid w:val="006F0021"/>
    <w:rsid w:val="006F0310"/>
    <w:rsid w:val="006F0451"/>
    <w:rsid w:val="006F43E8"/>
    <w:rsid w:val="006F7F54"/>
    <w:rsid w:val="00701D0B"/>
    <w:rsid w:val="00702045"/>
    <w:rsid w:val="0070239C"/>
    <w:rsid w:val="00702D47"/>
    <w:rsid w:val="007039BF"/>
    <w:rsid w:val="00703AE3"/>
    <w:rsid w:val="007058D6"/>
    <w:rsid w:val="007101B7"/>
    <w:rsid w:val="0072162C"/>
    <w:rsid w:val="007244D7"/>
    <w:rsid w:val="007259C0"/>
    <w:rsid w:val="00726912"/>
    <w:rsid w:val="007275E9"/>
    <w:rsid w:val="007336CC"/>
    <w:rsid w:val="00733A31"/>
    <w:rsid w:val="00733DC4"/>
    <w:rsid w:val="0073519D"/>
    <w:rsid w:val="007367AB"/>
    <w:rsid w:val="00736C07"/>
    <w:rsid w:val="00737468"/>
    <w:rsid w:val="00737A92"/>
    <w:rsid w:val="0074091E"/>
    <w:rsid w:val="00741D01"/>
    <w:rsid w:val="00744B1B"/>
    <w:rsid w:val="00745860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6D6"/>
    <w:rsid w:val="00765825"/>
    <w:rsid w:val="0077008C"/>
    <w:rsid w:val="00770443"/>
    <w:rsid w:val="007716C4"/>
    <w:rsid w:val="0077249A"/>
    <w:rsid w:val="00773E8F"/>
    <w:rsid w:val="00774BC2"/>
    <w:rsid w:val="00774CF9"/>
    <w:rsid w:val="00775749"/>
    <w:rsid w:val="00775E46"/>
    <w:rsid w:val="0077672A"/>
    <w:rsid w:val="00776C8B"/>
    <w:rsid w:val="00777006"/>
    <w:rsid w:val="007776B9"/>
    <w:rsid w:val="007806EE"/>
    <w:rsid w:val="007818B3"/>
    <w:rsid w:val="00781B64"/>
    <w:rsid w:val="00781F46"/>
    <w:rsid w:val="00783869"/>
    <w:rsid w:val="007843F5"/>
    <w:rsid w:val="00786C6E"/>
    <w:rsid w:val="0078746D"/>
    <w:rsid w:val="00787E47"/>
    <w:rsid w:val="0079049C"/>
    <w:rsid w:val="007906DD"/>
    <w:rsid w:val="00791279"/>
    <w:rsid w:val="00791ACD"/>
    <w:rsid w:val="00791E9E"/>
    <w:rsid w:val="00793019"/>
    <w:rsid w:val="007962CC"/>
    <w:rsid w:val="007A0803"/>
    <w:rsid w:val="007A1BB0"/>
    <w:rsid w:val="007A200E"/>
    <w:rsid w:val="007A2177"/>
    <w:rsid w:val="007A4FE5"/>
    <w:rsid w:val="007A5BA3"/>
    <w:rsid w:val="007B0408"/>
    <w:rsid w:val="007B1D2E"/>
    <w:rsid w:val="007B2B06"/>
    <w:rsid w:val="007B2C0C"/>
    <w:rsid w:val="007B32C4"/>
    <w:rsid w:val="007B3648"/>
    <w:rsid w:val="007B559D"/>
    <w:rsid w:val="007B7550"/>
    <w:rsid w:val="007D2D1B"/>
    <w:rsid w:val="007D3641"/>
    <w:rsid w:val="007D48A0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1EAF"/>
    <w:rsid w:val="0080275C"/>
    <w:rsid w:val="008034EB"/>
    <w:rsid w:val="00803E6A"/>
    <w:rsid w:val="00803EF5"/>
    <w:rsid w:val="00805ACA"/>
    <w:rsid w:val="00806372"/>
    <w:rsid w:val="00806EF0"/>
    <w:rsid w:val="00810419"/>
    <w:rsid w:val="008154BF"/>
    <w:rsid w:val="008170EC"/>
    <w:rsid w:val="008205A7"/>
    <w:rsid w:val="00821A85"/>
    <w:rsid w:val="008231E4"/>
    <w:rsid w:val="0083373F"/>
    <w:rsid w:val="00833AA1"/>
    <w:rsid w:val="0083472C"/>
    <w:rsid w:val="008366AB"/>
    <w:rsid w:val="00837408"/>
    <w:rsid w:val="00837A39"/>
    <w:rsid w:val="00842283"/>
    <w:rsid w:val="00843C0A"/>
    <w:rsid w:val="008449B7"/>
    <w:rsid w:val="00844D98"/>
    <w:rsid w:val="00845975"/>
    <w:rsid w:val="008466A2"/>
    <w:rsid w:val="00847779"/>
    <w:rsid w:val="00851020"/>
    <w:rsid w:val="00853849"/>
    <w:rsid w:val="008545AB"/>
    <w:rsid w:val="00856717"/>
    <w:rsid w:val="008577A9"/>
    <w:rsid w:val="008619A7"/>
    <w:rsid w:val="0086296B"/>
    <w:rsid w:val="008636A4"/>
    <w:rsid w:val="00864811"/>
    <w:rsid w:val="00865607"/>
    <w:rsid w:val="00865E05"/>
    <w:rsid w:val="00871F6D"/>
    <w:rsid w:val="00872B5F"/>
    <w:rsid w:val="008734D4"/>
    <w:rsid w:val="00874498"/>
    <w:rsid w:val="00875CA4"/>
    <w:rsid w:val="00877BDE"/>
    <w:rsid w:val="00881A14"/>
    <w:rsid w:val="0088268A"/>
    <w:rsid w:val="00883233"/>
    <w:rsid w:val="008853A2"/>
    <w:rsid w:val="00887D9F"/>
    <w:rsid w:val="00890BCD"/>
    <w:rsid w:val="00891F8F"/>
    <w:rsid w:val="00892C26"/>
    <w:rsid w:val="00893F72"/>
    <w:rsid w:val="00895EEB"/>
    <w:rsid w:val="00897160"/>
    <w:rsid w:val="00897393"/>
    <w:rsid w:val="008A02F1"/>
    <w:rsid w:val="008A05A8"/>
    <w:rsid w:val="008A1AD6"/>
    <w:rsid w:val="008A3605"/>
    <w:rsid w:val="008A4C34"/>
    <w:rsid w:val="008A61C6"/>
    <w:rsid w:val="008A7077"/>
    <w:rsid w:val="008B13BD"/>
    <w:rsid w:val="008B19CC"/>
    <w:rsid w:val="008B1A57"/>
    <w:rsid w:val="008B3637"/>
    <w:rsid w:val="008B4D2E"/>
    <w:rsid w:val="008B519C"/>
    <w:rsid w:val="008B59B0"/>
    <w:rsid w:val="008B65CB"/>
    <w:rsid w:val="008B7D23"/>
    <w:rsid w:val="008C136A"/>
    <w:rsid w:val="008C2AF5"/>
    <w:rsid w:val="008C3F7D"/>
    <w:rsid w:val="008C49E0"/>
    <w:rsid w:val="008C4A3C"/>
    <w:rsid w:val="008C4ACB"/>
    <w:rsid w:val="008C50F1"/>
    <w:rsid w:val="008C5869"/>
    <w:rsid w:val="008C64AC"/>
    <w:rsid w:val="008D06B9"/>
    <w:rsid w:val="008D7E4A"/>
    <w:rsid w:val="008E00AE"/>
    <w:rsid w:val="008E34F7"/>
    <w:rsid w:val="008F0178"/>
    <w:rsid w:val="008F0B6A"/>
    <w:rsid w:val="008F2318"/>
    <w:rsid w:val="008F2F07"/>
    <w:rsid w:val="008F6CCA"/>
    <w:rsid w:val="0090059F"/>
    <w:rsid w:val="00904C9C"/>
    <w:rsid w:val="0090577B"/>
    <w:rsid w:val="00910C6F"/>
    <w:rsid w:val="00911BC4"/>
    <w:rsid w:val="0091221E"/>
    <w:rsid w:val="009129D6"/>
    <w:rsid w:val="00915096"/>
    <w:rsid w:val="0091513F"/>
    <w:rsid w:val="00916D36"/>
    <w:rsid w:val="009173C8"/>
    <w:rsid w:val="00920620"/>
    <w:rsid w:val="00922931"/>
    <w:rsid w:val="0092545D"/>
    <w:rsid w:val="009262BC"/>
    <w:rsid w:val="0092740A"/>
    <w:rsid w:val="00927FE1"/>
    <w:rsid w:val="00931DC0"/>
    <w:rsid w:val="00932737"/>
    <w:rsid w:val="00933943"/>
    <w:rsid w:val="00933C29"/>
    <w:rsid w:val="00937395"/>
    <w:rsid w:val="00940259"/>
    <w:rsid w:val="00940304"/>
    <w:rsid w:val="00940BA3"/>
    <w:rsid w:val="00941E1F"/>
    <w:rsid w:val="00942244"/>
    <w:rsid w:val="00942B2D"/>
    <w:rsid w:val="00943D12"/>
    <w:rsid w:val="00943EA5"/>
    <w:rsid w:val="0094718A"/>
    <w:rsid w:val="00947554"/>
    <w:rsid w:val="00952FF9"/>
    <w:rsid w:val="009530CC"/>
    <w:rsid w:val="00953116"/>
    <w:rsid w:val="00953930"/>
    <w:rsid w:val="00953CA0"/>
    <w:rsid w:val="00954F3D"/>
    <w:rsid w:val="00955AE1"/>
    <w:rsid w:val="009600B1"/>
    <w:rsid w:val="00964676"/>
    <w:rsid w:val="009659E6"/>
    <w:rsid w:val="00971407"/>
    <w:rsid w:val="00973173"/>
    <w:rsid w:val="009734D4"/>
    <w:rsid w:val="00974613"/>
    <w:rsid w:val="009764C2"/>
    <w:rsid w:val="00977139"/>
    <w:rsid w:val="009776F6"/>
    <w:rsid w:val="00980C18"/>
    <w:rsid w:val="00980E3E"/>
    <w:rsid w:val="00981E06"/>
    <w:rsid w:val="0098220C"/>
    <w:rsid w:val="00983424"/>
    <w:rsid w:val="00983D4E"/>
    <w:rsid w:val="00984F3A"/>
    <w:rsid w:val="00985AF9"/>
    <w:rsid w:val="00987684"/>
    <w:rsid w:val="00990BD7"/>
    <w:rsid w:val="009912E2"/>
    <w:rsid w:val="009914C2"/>
    <w:rsid w:val="00994100"/>
    <w:rsid w:val="009A0195"/>
    <w:rsid w:val="009A1D23"/>
    <w:rsid w:val="009A2574"/>
    <w:rsid w:val="009A2C8E"/>
    <w:rsid w:val="009A3461"/>
    <w:rsid w:val="009A4CF6"/>
    <w:rsid w:val="009A7CF7"/>
    <w:rsid w:val="009B0BB4"/>
    <w:rsid w:val="009B30CE"/>
    <w:rsid w:val="009B3397"/>
    <w:rsid w:val="009B4953"/>
    <w:rsid w:val="009B4ACA"/>
    <w:rsid w:val="009B53A3"/>
    <w:rsid w:val="009C119A"/>
    <w:rsid w:val="009C3095"/>
    <w:rsid w:val="009C629C"/>
    <w:rsid w:val="009D08F8"/>
    <w:rsid w:val="009D0BBD"/>
    <w:rsid w:val="009D2559"/>
    <w:rsid w:val="009D4357"/>
    <w:rsid w:val="009D50A4"/>
    <w:rsid w:val="009D7E6C"/>
    <w:rsid w:val="009E191D"/>
    <w:rsid w:val="009E1DCA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698"/>
    <w:rsid w:val="00A07FC0"/>
    <w:rsid w:val="00A10672"/>
    <w:rsid w:val="00A109D4"/>
    <w:rsid w:val="00A1189B"/>
    <w:rsid w:val="00A11C54"/>
    <w:rsid w:val="00A132A9"/>
    <w:rsid w:val="00A14C33"/>
    <w:rsid w:val="00A16555"/>
    <w:rsid w:val="00A16B3A"/>
    <w:rsid w:val="00A201BA"/>
    <w:rsid w:val="00A22860"/>
    <w:rsid w:val="00A24E2C"/>
    <w:rsid w:val="00A253C7"/>
    <w:rsid w:val="00A25A2B"/>
    <w:rsid w:val="00A30CFC"/>
    <w:rsid w:val="00A32BC8"/>
    <w:rsid w:val="00A32CAB"/>
    <w:rsid w:val="00A332B7"/>
    <w:rsid w:val="00A33E2A"/>
    <w:rsid w:val="00A35E91"/>
    <w:rsid w:val="00A37D31"/>
    <w:rsid w:val="00A4656E"/>
    <w:rsid w:val="00A503A0"/>
    <w:rsid w:val="00A53B0D"/>
    <w:rsid w:val="00A5503A"/>
    <w:rsid w:val="00A577F9"/>
    <w:rsid w:val="00A60EB0"/>
    <w:rsid w:val="00A63E09"/>
    <w:rsid w:val="00A70D22"/>
    <w:rsid w:val="00A743C3"/>
    <w:rsid w:val="00A804F7"/>
    <w:rsid w:val="00A823D6"/>
    <w:rsid w:val="00A84F3F"/>
    <w:rsid w:val="00A91B33"/>
    <w:rsid w:val="00A920D2"/>
    <w:rsid w:val="00A92242"/>
    <w:rsid w:val="00A932FF"/>
    <w:rsid w:val="00A935E1"/>
    <w:rsid w:val="00A94C25"/>
    <w:rsid w:val="00A95902"/>
    <w:rsid w:val="00A97A7C"/>
    <w:rsid w:val="00AA1509"/>
    <w:rsid w:val="00AA1AC8"/>
    <w:rsid w:val="00AA1AF5"/>
    <w:rsid w:val="00AA31C8"/>
    <w:rsid w:val="00AA34B7"/>
    <w:rsid w:val="00AB07B5"/>
    <w:rsid w:val="00AB28DA"/>
    <w:rsid w:val="00AB4113"/>
    <w:rsid w:val="00AB5A88"/>
    <w:rsid w:val="00AC2379"/>
    <w:rsid w:val="00AC2E3A"/>
    <w:rsid w:val="00AC48DC"/>
    <w:rsid w:val="00AC4C2E"/>
    <w:rsid w:val="00AC4EB2"/>
    <w:rsid w:val="00AC764E"/>
    <w:rsid w:val="00AD332D"/>
    <w:rsid w:val="00AD4386"/>
    <w:rsid w:val="00AD5302"/>
    <w:rsid w:val="00AD56DA"/>
    <w:rsid w:val="00AD6168"/>
    <w:rsid w:val="00AD7B55"/>
    <w:rsid w:val="00AE0A9A"/>
    <w:rsid w:val="00AE0AB4"/>
    <w:rsid w:val="00AE2C12"/>
    <w:rsid w:val="00AE4084"/>
    <w:rsid w:val="00AE52AC"/>
    <w:rsid w:val="00AE57BD"/>
    <w:rsid w:val="00AE5D43"/>
    <w:rsid w:val="00AE670B"/>
    <w:rsid w:val="00AF34AA"/>
    <w:rsid w:val="00AF4198"/>
    <w:rsid w:val="00AF4677"/>
    <w:rsid w:val="00AF58D9"/>
    <w:rsid w:val="00B03D2D"/>
    <w:rsid w:val="00B042FC"/>
    <w:rsid w:val="00B0651F"/>
    <w:rsid w:val="00B11CA5"/>
    <w:rsid w:val="00B20F81"/>
    <w:rsid w:val="00B21DD0"/>
    <w:rsid w:val="00B220AE"/>
    <w:rsid w:val="00B225DA"/>
    <w:rsid w:val="00B2308E"/>
    <w:rsid w:val="00B255EA"/>
    <w:rsid w:val="00B26DB8"/>
    <w:rsid w:val="00B2753E"/>
    <w:rsid w:val="00B277B6"/>
    <w:rsid w:val="00B31857"/>
    <w:rsid w:val="00B32B0D"/>
    <w:rsid w:val="00B34222"/>
    <w:rsid w:val="00B3455E"/>
    <w:rsid w:val="00B35373"/>
    <w:rsid w:val="00B35986"/>
    <w:rsid w:val="00B36892"/>
    <w:rsid w:val="00B37442"/>
    <w:rsid w:val="00B41A93"/>
    <w:rsid w:val="00B42EC3"/>
    <w:rsid w:val="00B44512"/>
    <w:rsid w:val="00B4752A"/>
    <w:rsid w:val="00B600EB"/>
    <w:rsid w:val="00B60613"/>
    <w:rsid w:val="00B61799"/>
    <w:rsid w:val="00B61FCC"/>
    <w:rsid w:val="00B621E6"/>
    <w:rsid w:val="00B6313C"/>
    <w:rsid w:val="00B635A2"/>
    <w:rsid w:val="00B641D6"/>
    <w:rsid w:val="00B64D2B"/>
    <w:rsid w:val="00B653FB"/>
    <w:rsid w:val="00B65932"/>
    <w:rsid w:val="00B67830"/>
    <w:rsid w:val="00B71289"/>
    <w:rsid w:val="00B7354F"/>
    <w:rsid w:val="00B829A3"/>
    <w:rsid w:val="00B82D99"/>
    <w:rsid w:val="00B854D5"/>
    <w:rsid w:val="00B85F4B"/>
    <w:rsid w:val="00B871C0"/>
    <w:rsid w:val="00B87FAD"/>
    <w:rsid w:val="00B909FF"/>
    <w:rsid w:val="00B90B02"/>
    <w:rsid w:val="00B9161A"/>
    <w:rsid w:val="00B95A70"/>
    <w:rsid w:val="00B95DEA"/>
    <w:rsid w:val="00B96352"/>
    <w:rsid w:val="00B97C3B"/>
    <w:rsid w:val="00BA0CA9"/>
    <w:rsid w:val="00BA157C"/>
    <w:rsid w:val="00BA2518"/>
    <w:rsid w:val="00BA4EA8"/>
    <w:rsid w:val="00BB0D98"/>
    <w:rsid w:val="00BB0E36"/>
    <w:rsid w:val="00BB1342"/>
    <w:rsid w:val="00BB1C6E"/>
    <w:rsid w:val="00BB2796"/>
    <w:rsid w:val="00BB37B4"/>
    <w:rsid w:val="00BB383E"/>
    <w:rsid w:val="00BB47B0"/>
    <w:rsid w:val="00BB4C02"/>
    <w:rsid w:val="00BB4C71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4630"/>
    <w:rsid w:val="00BE5EA1"/>
    <w:rsid w:val="00BE5EA4"/>
    <w:rsid w:val="00BE70BB"/>
    <w:rsid w:val="00BE7FB9"/>
    <w:rsid w:val="00BF17B8"/>
    <w:rsid w:val="00BF1989"/>
    <w:rsid w:val="00BF26B2"/>
    <w:rsid w:val="00BF2FE2"/>
    <w:rsid w:val="00BF32E7"/>
    <w:rsid w:val="00BF6044"/>
    <w:rsid w:val="00C00516"/>
    <w:rsid w:val="00C0112E"/>
    <w:rsid w:val="00C03017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79E"/>
    <w:rsid w:val="00C17DEB"/>
    <w:rsid w:val="00C200A2"/>
    <w:rsid w:val="00C205F5"/>
    <w:rsid w:val="00C20A90"/>
    <w:rsid w:val="00C21A7A"/>
    <w:rsid w:val="00C21F4B"/>
    <w:rsid w:val="00C2298C"/>
    <w:rsid w:val="00C22FE2"/>
    <w:rsid w:val="00C24DC9"/>
    <w:rsid w:val="00C3092F"/>
    <w:rsid w:val="00C30BCF"/>
    <w:rsid w:val="00C340C6"/>
    <w:rsid w:val="00C3556B"/>
    <w:rsid w:val="00C40A0A"/>
    <w:rsid w:val="00C429DD"/>
    <w:rsid w:val="00C43085"/>
    <w:rsid w:val="00C43635"/>
    <w:rsid w:val="00C446C6"/>
    <w:rsid w:val="00C4791E"/>
    <w:rsid w:val="00C523C3"/>
    <w:rsid w:val="00C524D8"/>
    <w:rsid w:val="00C5269A"/>
    <w:rsid w:val="00C57A02"/>
    <w:rsid w:val="00C6290D"/>
    <w:rsid w:val="00C63AD8"/>
    <w:rsid w:val="00C640AF"/>
    <w:rsid w:val="00C65AAB"/>
    <w:rsid w:val="00C70433"/>
    <w:rsid w:val="00C727A8"/>
    <w:rsid w:val="00C7560A"/>
    <w:rsid w:val="00C76D2A"/>
    <w:rsid w:val="00C776CE"/>
    <w:rsid w:val="00C77FFC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6524"/>
    <w:rsid w:val="00C9701A"/>
    <w:rsid w:val="00CA20A1"/>
    <w:rsid w:val="00CA6A37"/>
    <w:rsid w:val="00CA70BF"/>
    <w:rsid w:val="00CB00C4"/>
    <w:rsid w:val="00CB504B"/>
    <w:rsid w:val="00CB76F5"/>
    <w:rsid w:val="00CC1559"/>
    <w:rsid w:val="00CC1972"/>
    <w:rsid w:val="00CC45F1"/>
    <w:rsid w:val="00CC55DC"/>
    <w:rsid w:val="00CC62F9"/>
    <w:rsid w:val="00CC7B9D"/>
    <w:rsid w:val="00CD1CAF"/>
    <w:rsid w:val="00CD5650"/>
    <w:rsid w:val="00CD6555"/>
    <w:rsid w:val="00CE35EA"/>
    <w:rsid w:val="00CE5331"/>
    <w:rsid w:val="00CF1A70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07941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546F"/>
    <w:rsid w:val="00D25D9C"/>
    <w:rsid w:val="00D26EBC"/>
    <w:rsid w:val="00D272E6"/>
    <w:rsid w:val="00D34395"/>
    <w:rsid w:val="00D379A8"/>
    <w:rsid w:val="00D37BC8"/>
    <w:rsid w:val="00D4001C"/>
    <w:rsid w:val="00D46830"/>
    <w:rsid w:val="00D469D9"/>
    <w:rsid w:val="00D46A9F"/>
    <w:rsid w:val="00D4765F"/>
    <w:rsid w:val="00D510AF"/>
    <w:rsid w:val="00D528F3"/>
    <w:rsid w:val="00D5458E"/>
    <w:rsid w:val="00D545B5"/>
    <w:rsid w:val="00D54A13"/>
    <w:rsid w:val="00D60CFD"/>
    <w:rsid w:val="00D60F8C"/>
    <w:rsid w:val="00D61A34"/>
    <w:rsid w:val="00D64558"/>
    <w:rsid w:val="00D669DE"/>
    <w:rsid w:val="00D67294"/>
    <w:rsid w:val="00D71759"/>
    <w:rsid w:val="00D719F6"/>
    <w:rsid w:val="00D72747"/>
    <w:rsid w:val="00D729E3"/>
    <w:rsid w:val="00D74088"/>
    <w:rsid w:val="00D745DE"/>
    <w:rsid w:val="00D81E2B"/>
    <w:rsid w:val="00D83B9F"/>
    <w:rsid w:val="00D862AE"/>
    <w:rsid w:val="00D90964"/>
    <w:rsid w:val="00D916B3"/>
    <w:rsid w:val="00D924F9"/>
    <w:rsid w:val="00D9409E"/>
    <w:rsid w:val="00D95662"/>
    <w:rsid w:val="00D9575F"/>
    <w:rsid w:val="00D95E2A"/>
    <w:rsid w:val="00DA5887"/>
    <w:rsid w:val="00DA7FD2"/>
    <w:rsid w:val="00DB096E"/>
    <w:rsid w:val="00DB1C3F"/>
    <w:rsid w:val="00DB2C7D"/>
    <w:rsid w:val="00DB58B4"/>
    <w:rsid w:val="00DB5A5D"/>
    <w:rsid w:val="00DB6AD8"/>
    <w:rsid w:val="00DB6BAA"/>
    <w:rsid w:val="00DB7723"/>
    <w:rsid w:val="00DB7E40"/>
    <w:rsid w:val="00DC1C98"/>
    <w:rsid w:val="00DC30B9"/>
    <w:rsid w:val="00DC6534"/>
    <w:rsid w:val="00DC6597"/>
    <w:rsid w:val="00DD439D"/>
    <w:rsid w:val="00DD48B6"/>
    <w:rsid w:val="00DE043B"/>
    <w:rsid w:val="00DE1D07"/>
    <w:rsid w:val="00DE2AEE"/>
    <w:rsid w:val="00DE419E"/>
    <w:rsid w:val="00DE41F5"/>
    <w:rsid w:val="00DE575C"/>
    <w:rsid w:val="00DE6AAE"/>
    <w:rsid w:val="00DE6B0D"/>
    <w:rsid w:val="00DE7DE9"/>
    <w:rsid w:val="00DF0EB2"/>
    <w:rsid w:val="00DF0F1F"/>
    <w:rsid w:val="00DF22BB"/>
    <w:rsid w:val="00DF276B"/>
    <w:rsid w:val="00DF2BD5"/>
    <w:rsid w:val="00DF59C4"/>
    <w:rsid w:val="00DF5C1F"/>
    <w:rsid w:val="00DF7055"/>
    <w:rsid w:val="00DF77C0"/>
    <w:rsid w:val="00E01511"/>
    <w:rsid w:val="00E02B9A"/>
    <w:rsid w:val="00E039CE"/>
    <w:rsid w:val="00E05ECE"/>
    <w:rsid w:val="00E07471"/>
    <w:rsid w:val="00E12B48"/>
    <w:rsid w:val="00E1528F"/>
    <w:rsid w:val="00E217BA"/>
    <w:rsid w:val="00E23FF1"/>
    <w:rsid w:val="00E349E5"/>
    <w:rsid w:val="00E40EA0"/>
    <w:rsid w:val="00E42E7F"/>
    <w:rsid w:val="00E4570B"/>
    <w:rsid w:val="00E47C36"/>
    <w:rsid w:val="00E50198"/>
    <w:rsid w:val="00E529BC"/>
    <w:rsid w:val="00E6040C"/>
    <w:rsid w:val="00E61EE9"/>
    <w:rsid w:val="00E62586"/>
    <w:rsid w:val="00E637A7"/>
    <w:rsid w:val="00E64B0C"/>
    <w:rsid w:val="00E65208"/>
    <w:rsid w:val="00E65856"/>
    <w:rsid w:val="00E6607F"/>
    <w:rsid w:val="00E66437"/>
    <w:rsid w:val="00E675C8"/>
    <w:rsid w:val="00E67B8C"/>
    <w:rsid w:val="00E70AF5"/>
    <w:rsid w:val="00E7196D"/>
    <w:rsid w:val="00E71C61"/>
    <w:rsid w:val="00E72160"/>
    <w:rsid w:val="00E7341B"/>
    <w:rsid w:val="00E740B2"/>
    <w:rsid w:val="00E75292"/>
    <w:rsid w:val="00E75382"/>
    <w:rsid w:val="00E7581F"/>
    <w:rsid w:val="00E75836"/>
    <w:rsid w:val="00E7741C"/>
    <w:rsid w:val="00E80D6F"/>
    <w:rsid w:val="00E84634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C6DA8"/>
    <w:rsid w:val="00ED3FF2"/>
    <w:rsid w:val="00ED5E88"/>
    <w:rsid w:val="00ED6092"/>
    <w:rsid w:val="00EE0691"/>
    <w:rsid w:val="00EE0F0A"/>
    <w:rsid w:val="00EE174F"/>
    <w:rsid w:val="00EE323D"/>
    <w:rsid w:val="00EE32EA"/>
    <w:rsid w:val="00EE33EF"/>
    <w:rsid w:val="00EE63BF"/>
    <w:rsid w:val="00EF164C"/>
    <w:rsid w:val="00EF41A6"/>
    <w:rsid w:val="00EF43BA"/>
    <w:rsid w:val="00EF5A0D"/>
    <w:rsid w:val="00F01D44"/>
    <w:rsid w:val="00F0392E"/>
    <w:rsid w:val="00F04286"/>
    <w:rsid w:val="00F05947"/>
    <w:rsid w:val="00F05A83"/>
    <w:rsid w:val="00F07EC8"/>
    <w:rsid w:val="00F11296"/>
    <w:rsid w:val="00F13BAC"/>
    <w:rsid w:val="00F14012"/>
    <w:rsid w:val="00F17470"/>
    <w:rsid w:val="00F17C16"/>
    <w:rsid w:val="00F219AB"/>
    <w:rsid w:val="00F257C3"/>
    <w:rsid w:val="00F27216"/>
    <w:rsid w:val="00F27B5D"/>
    <w:rsid w:val="00F30435"/>
    <w:rsid w:val="00F30DAD"/>
    <w:rsid w:val="00F3397E"/>
    <w:rsid w:val="00F33E5B"/>
    <w:rsid w:val="00F35327"/>
    <w:rsid w:val="00F35741"/>
    <w:rsid w:val="00F37B57"/>
    <w:rsid w:val="00F44F96"/>
    <w:rsid w:val="00F50C52"/>
    <w:rsid w:val="00F50F1E"/>
    <w:rsid w:val="00F51A56"/>
    <w:rsid w:val="00F51C49"/>
    <w:rsid w:val="00F523B9"/>
    <w:rsid w:val="00F53FFA"/>
    <w:rsid w:val="00F5714C"/>
    <w:rsid w:val="00F57254"/>
    <w:rsid w:val="00F60804"/>
    <w:rsid w:val="00F612A8"/>
    <w:rsid w:val="00F613C9"/>
    <w:rsid w:val="00F62DCD"/>
    <w:rsid w:val="00F664DC"/>
    <w:rsid w:val="00F665B9"/>
    <w:rsid w:val="00F71924"/>
    <w:rsid w:val="00F72572"/>
    <w:rsid w:val="00F747DC"/>
    <w:rsid w:val="00F74D28"/>
    <w:rsid w:val="00F75F00"/>
    <w:rsid w:val="00F768F2"/>
    <w:rsid w:val="00F76CAF"/>
    <w:rsid w:val="00F817FD"/>
    <w:rsid w:val="00F832C9"/>
    <w:rsid w:val="00F84C1E"/>
    <w:rsid w:val="00F84E3A"/>
    <w:rsid w:val="00F86B50"/>
    <w:rsid w:val="00F95C85"/>
    <w:rsid w:val="00FA03DA"/>
    <w:rsid w:val="00FA205B"/>
    <w:rsid w:val="00FA22AC"/>
    <w:rsid w:val="00FA28CE"/>
    <w:rsid w:val="00FA34F2"/>
    <w:rsid w:val="00FA5C5A"/>
    <w:rsid w:val="00FA5D0D"/>
    <w:rsid w:val="00FA5F4A"/>
    <w:rsid w:val="00FA76A9"/>
    <w:rsid w:val="00FB20D5"/>
    <w:rsid w:val="00FB23CF"/>
    <w:rsid w:val="00FB2EC2"/>
    <w:rsid w:val="00FB338B"/>
    <w:rsid w:val="00FB418A"/>
    <w:rsid w:val="00FB4A7E"/>
    <w:rsid w:val="00FB5C48"/>
    <w:rsid w:val="00FB66BD"/>
    <w:rsid w:val="00FB6AC2"/>
    <w:rsid w:val="00FC39D2"/>
    <w:rsid w:val="00FC60D9"/>
    <w:rsid w:val="00FC6700"/>
    <w:rsid w:val="00FC7066"/>
    <w:rsid w:val="00FD1069"/>
    <w:rsid w:val="00FD2B7D"/>
    <w:rsid w:val="00FD520F"/>
    <w:rsid w:val="00FE0ED3"/>
    <w:rsid w:val="00FE3DAD"/>
    <w:rsid w:val="00FE61D1"/>
    <w:rsid w:val="00FE70F8"/>
    <w:rsid w:val="00FF5202"/>
    <w:rsid w:val="00FF546A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DE86C1"/>
  <w15:docId w15:val="{E8097CE9-7243-46FA-8AC8-BFCA2B2B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aliases w:val="C26 Footnote Number,Footnote Reference Number,Footnote Reference_LVL6,Footnote Reference_LVL61,Footnote Reference_LVL62,Footnote Reference_LVL63,Footnote Reference_LVL64,Footnote Reference_LVL65,Footnote symbol,fn"/>
    <w:basedOn w:val="Carpredefinitoparagrafo"/>
    <w:uiPriority w:val="99"/>
    <w:qFormat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72C4"/>
    <w:rPr>
      <w:sz w:val="24"/>
      <w:szCs w:val="24"/>
    </w:rPr>
  </w:style>
  <w:style w:type="paragraph" w:styleId="Revisione">
    <w:name w:val="Revision"/>
    <w:hidden/>
    <w:uiPriority w:val="99"/>
    <w:semiHidden/>
    <w:rsid w:val="00E12B4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25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53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53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5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5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4</cp:revision>
  <cp:lastPrinted>2025-03-25T09:13:00Z</cp:lastPrinted>
  <dcterms:created xsi:type="dcterms:W3CDTF">2025-03-26T10:13:00Z</dcterms:created>
  <dcterms:modified xsi:type="dcterms:W3CDTF">2025-03-26T10:14:00Z</dcterms:modified>
</cp:coreProperties>
</file>